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908B6" w:rsidRPr="003908B6" w:rsidRDefault="003908B6" w:rsidP="003908B6">
      <w:pPr>
        <w:shd w:val="clear" w:color="auto" w:fill="FFFFFF"/>
        <w:spacing w:before="90" w:after="90" w:line="240" w:lineRule="auto"/>
        <w:jc w:val="center"/>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Happiness and Wellbeing—PHH3610      </w:t>
      </w:r>
    </w:p>
    <w:p w:rsidR="003908B6" w:rsidRPr="003908B6" w:rsidRDefault="003908B6" w:rsidP="003908B6">
      <w:pPr>
        <w:shd w:val="clear" w:color="auto" w:fill="FFFFFF"/>
        <w:spacing w:before="180" w:after="180" w:line="240" w:lineRule="auto"/>
        <w:jc w:val="center"/>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Instructor: Lyndal Grant</w:t>
      </w:r>
    </w:p>
    <w:p w:rsidR="003908B6" w:rsidRPr="003908B6" w:rsidRDefault="003908B6" w:rsidP="003908B6">
      <w:pPr>
        <w:shd w:val="clear" w:color="auto" w:fill="FFFFFF"/>
        <w:spacing w:before="180" w:after="180" w:line="240" w:lineRule="auto"/>
        <w:jc w:val="center"/>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Email: l.grant@ufl.edu</w:t>
      </w:r>
    </w:p>
    <w:p w:rsidR="003908B6" w:rsidRPr="003908B6" w:rsidRDefault="003908B6" w:rsidP="003908B6">
      <w:pPr>
        <w:shd w:val="clear" w:color="auto" w:fill="FFFFFF"/>
        <w:spacing w:before="180" w:after="180" w:line="240" w:lineRule="auto"/>
        <w:jc w:val="center"/>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Time: </w:t>
      </w:r>
      <w:r w:rsidRPr="00325209">
        <w:rPr>
          <w:rFonts w:ascii="Garamond" w:eastAsia="Times New Roman" w:hAnsi="Garamond" w:cs="Times New Roman"/>
          <w:color w:val="2D3B45"/>
          <w:kern w:val="0"/>
          <w14:ligatures w14:val="none"/>
        </w:rPr>
        <w:t>Tuesday</w:t>
      </w:r>
      <w:r w:rsidRPr="003908B6">
        <w:rPr>
          <w:rFonts w:ascii="Garamond" w:eastAsia="Times New Roman" w:hAnsi="Garamond" w:cs="Times New Roman"/>
          <w:color w:val="2D3B45"/>
          <w:kern w:val="0"/>
          <w14:ligatures w14:val="none"/>
        </w:rPr>
        <w:t xml:space="preserve"> 11:45-</w:t>
      </w:r>
      <w:r w:rsidRPr="00325209">
        <w:rPr>
          <w:rFonts w:ascii="Garamond" w:eastAsia="Times New Roman" w:hAnsi="Garamond" w:cs="Times New Roman"/>
          <w:color w:val="2D3B45"/>
          <w:kern w:val="0"/>
          <w14:ligatures w14:val="none"/>
        </w:rPr>
        <w:t>1</w:t>
      </w:r>
      <w:r w:rsidRPr="003908B6">
        <w:rPr>
          <w:rFonts w:ascii="Garamond" w:eastAsia="Times New Roman" w:hAnsi="Garamond" w:cs="Times New Roman"/>
          <w:color w:val="2D3B45"/>
          <w:kern w:val="0"/>
          <w14:ligatures w14:val="none"/>
        </w:rPr>
        <w:t>:</w:t>
      </w:r>
      <w:r w:rsidRPr="00325209">
        <w:rPr>
          <w:rFonts w:ascii="Garamond" w:eastAsia="Times New Roman" w:hAnsi="Garamond" w:cs="Times New Roman"/>
          <w:color w:val="2D3B45"/>
          <w:kern w:val="0"/>
          <w14:ligatures w14:val="none"/>
        </w:rPr>
        <w:t>40; Thursday 12.50-1.40</w:t>
      </w:r>
    </w:p>
    <w:p w:rsidR="003908B6" w:rsidRPr="003908B6" w:rsidRDefault="003908B6" w:rsidP="003908B6">
      <w:pPr>
        <w:shd w:val="clear" w:color="auto" w:fill="FFFFFF"/>
        <w:spacing w:before="180" w:after="180" w:line="240" w:lineRule="auto"/>
        <w:jc w:val="center"/>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Location: </w:t>
      </w:r>
      <w:proofErr w:type="spellStart"/>
      <w:r w:rsidRPr="00325209">
        <w:rPr>
          <w:rFonts w:ascii="Garamond" w:eastAsia="Times New Roman" w:hAnsi="Garamond" w:cs="Times New Roman"/>
          <w:color w:val="2D3B45"/>
          <w:kern w:val="0"/>
          <w14:ligatures w14:val="none"/>
        </w:rPr>
        <w:t>Matherly</w:t>
      </w:r>
      <w:proofErr w:type="spellEnd"/>
      <w:r w:rsidRPr="00325209">
        <w:rPr>
          <w:rFonts w:ascii="Garamond" w:eastAsia="Times New Roman" w:hAnsi="Garamond" w:cs="Times New Roman"/>
          <w:color w:val="2D3B45"/>
          <w:kern w:val="0"/>
          <w14:ligatures w14:val="none"/>
        </w:rPr>
        <w:t xml:space="preserve"> Hall 0115</w:t>
      </w:r>
    </w:p>
    <w:p w:rsidR="003908B6" w:rsidRPr="003908B6" w:rsidRDefault="003908B6" w:rsidP="003908B6">
      <w:pPr>
        <w:shd w:val="clear" w:color="auto" w:fill="FFFFFF"/>
        <w:spacing w:before="180" w:after="180" w:line="240" w:lineRule="auto"/>
        <w:jc w:val="center"/>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Office hours: </w:t>
      </w:r>
      <w:r w:rsidRPr="00325209">
        <w:rPr>
          <w:rFonts w:ascii="Garamond" w:eastAsia="Times New Roman" w:hAnsi="Garamond" w:cs="Times New Roman"/>
          <w:color w:val="2D3B45"/>
          <w:kern w:val="0"/>
          <w14:ligatures w14:val="none"/>
        </w:rPr>
        <w:t>Tuesday 2.30-3.10; Thursday 11-12</w:t>
      </w:r>
    </w:p>
    <w:p w:rsidR="003908B6" w:rsidRPr="003908B6" w:rsidRDefault="003908B6" w:rsidP="003908B6">
      <w:pPr>
        <w:shd w:val="clear" w:color="auto" w:fill="FFFFFF"/>
        <w:spacing w:before="180" w:after="180" w:line="240" w:lineRule="auto"/>
        <w:jc w:val="center"/>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Office location: 302 Griffin-Floyd Hall</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COURSE DESCRIPTION</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What makes our lives go better or worse? According to the hedonist, our lives go better when we experience pleasure and avoid pain. According to desire-based theories, our lives go better when we get what we want. Objective list theorists say that a variety of different goods – such as pleasure, friendship, and knowledge – are essential components of a life worth living.</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In this course, we will consider these and other theories of the nature of wellbeing in the context of broader philosophical questions about life, death, and the afterlife. These questions will include:</w:t>
      </w:r>
    </w:p>
    <w:p w:rsidR="003908B6" w:rsidRPr="003908B6" w:rsidRDefault="003908B6" w:rsidP="003908B6">
      <w:pPr>
        <w:numPr>
          <w:ilvl w:val="0"/>
          <w:numId w:val="1"/>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Is it always good to get what you want?</w:t>
      </w:r>
    </w:p>
    <w:p w:rsidR="003908B6" w:rsidRPr="003908B6" w:rsidRDefault="003908B6" w:rsidP="003908B6">
      <w:pPr>
        <w:numPr>
          <w:ilvl w:val="0"/>
          <w:numId w:val="1"/>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Is achievement necessary in a life well-lived?</w:t>
      </w:r>
    </w:p>
    <w:p w:rsidR="003908B6" w:rsidRPr="003908B6" w:rsidRDefault="003908B6" w:rsidP="003908B6">
      <w:pPr>
        <w:numPr>
          <w:ilvl w:val="0"/>
          <w:numId w:val="1"/>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Is death always bad? For whom?</w:t>
      </w:r>
    </w:p>
    <w:p w:rsidR="003908B6" w:rsidRPr="003908B6" w:rsidRDefault="003908B6" w:rsidP="003908B6">
      <w:pPr>
        <w:numPr>
          <w:ilvl w:val="0"/>
          <w:numId w:val="1"/>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Can things that happen after we die make our lives go worse?</w:t>
      </w:r>
    </w:p>
    <w:p w:rsidR="003908B6" w:rsidRPr="003908B6" w:rsidRDefault="003908B6" w:rsidP="003908B6">
      <w:pPr>
        <w:numPr>
          <w:ilvl w:val="0"/>
          <w:numId w:val="1"/>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Should we want to live forever?</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The main aim of this course is to have you think about these and related questions in a philosophically rigorous way. This means formulating arguments, articulating opposing views, and above all, thinking critically.</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REQUIRED TEXT AND READINGS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All assigned readings will be available through the class Canvas page.</w:t>
      </w:r>
      <w:r w:rsidRPr="003908B6">
        <w:rPr>
          <w:rFonts w:ascii="Garamond" w:eastAsia="Times New Roman" w:hAnsi="Garamond" w:cs="Times New Roman"/>
          <w:b/>
          <w:bCs/>
          <w:color w:val="2D3B45"/>
          <w:kern w:val="0"/>
          <w14:ligatures w14:val="none"/>
        </w:rPr>
        <w:t> </w:t>
      </w:r>
    </w:p>
    <w:p w:rsidR="00325209" w:rsidRPr="00325209" w:rsidRDefault="00325209">
      <w:pPr>
        <w:rPr>
          <w:rFonts w:ascii="Garamond" w:eastAsia="Times New Roman" w:hAnsi="Garamond" w:cs="Times New Roman"/>
          <w:color w:val="2D3B45"/>
          <w:kern w:val="0"/>
          <w:sz w:val="43"/>
          <w:szCs w:val="43"/>
          <w14:ligatures w14:val="none"/>
        </w:rPr>
      </w:pPr>
      <w:r w:rsidRPr="00325209">
        <w:rPr>
          <w:rFonts w:ascii="Garamond" w:eastAsia="Times New Roman" w:hAnsi="Garamond" w:cs="Times New Roman"/>
          <w:color w:val="2D3B45"/>
          <w:kern w:val="0"/>
          <w:sz w:val="43"/>
          <w:szCs w:val="43"/>
          <w14:ligatures w14:val="none"/>
        </w:rPr>
        <w:br w:type="page"/>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lastRenderedPageBreak/>
        <w:t>COURSE LEARNING OBJECTIVES</w:t>
      </w:r>
    </w:p>
    <w:p w:rsidR="003908B6" w:rsidRPr="003908B6" w:rsidRDefault="003908B6" w:rsidP="003908B6">
      <w:pPr>
        <w:numPr>
          <w:ilvl w:val="0"/>
          <w:numId w:val="2"/>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Identify, describe, and explain major arguments and views on the relationship between the mental and the physical.</w:t>
      </w:r>
    </w:p>
    <w:p w:rsidR="003908B6" w:rsidRPr="003908B6" w:rsidRDefault="003908B6" w:rsidP="003908B6">
      <w:pPr>
        <w:numPr>
          <w:ilvl w:val="0"/>
          <w:numId w:val="2"/>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Discern the structure of arguments, represent them fairly and clearly, and evaluate them.</w:t>
      </w:r>
    </w:p>
    <w:p w:rsidR="003908B6" w:rsidRPr="003908B6" w:rsidRDefault="003908B6" w:rsidP="003908B6">
      <w:pPr>
        <w:numPr>
          <w:ilvl w:val="0"/>
          <w:numId w:val="2"/>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Formulate original arguments, anticipating objections and responding in a conscientious fashion.</w:t>
      </w:r>
    </w:p>
    <w:p w:rsidR="003908B6" w:rsidRPr="003908B6" w:rsidRDefault="003908B6" w:rsidP="003908B6">
      <w:pPr>
        <w:numPr>
          <w:ilvl w:val="0"/>
          <w:numId w:val="2"/>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Read and discuss complex philosophical texts from contemporary works.</w:t>
      </w:r>
    </w:p>
    <w:p w:rsidR="003908B6" w:rsidRPr="003908B6" w:rsidRDefault="003908B6" w:rsidP="003908B6">
      <w:pPr>
        <w:numPr>
          <w:ilvl w:val="0"/>
          <w:numId w:val="2"/>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Speak and write clearly about abstract and complex matters.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COURSE REQUIREMENTS &amp; ASSIGNMENTS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Participation</w:t>
      </w:r>
      <w:r w:rsidRPr="003908B6">
        <w:rPr>
          <w:rFonts w:ascii="Garamond" w:eastAsia="Times New Roman" w:hAnsi="Garamond" w:cs="Times New Roman"/>
          <w:color w:val="2D3B45"/>
          <w:kern w:val="0"/>
          <w14:ligatures w14:val="none"/>
        </w:rPr>
        <w:t>: 20% of your final grade will be determined by the quantity and quality of your participation in the course. Your participation grade is based on how prepared you are for class on a regular basis, your willingness to participate by contributing questions and comments while responding to others in a respectful and attentive way, and the quality of your comments.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Activities that will contribute to your participation grade include: </w:t>
      </w:r>
    </w:p>
    <w:p w:rsidR="003908B6" w:rsidRPr="003908B6" w:rsidRDefault="003908B6" w:rsidP="003908B6">
      <w:pPr>
        <w:numPr>
          <w:ilvl w:val="0"/>
          <w:numId w:val="3"/>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ATTENDANCE: regularly attending classes; </w:t>
      </w:r>
    </w:p>
    <w:p w:rsidR="003908B6" w:rsidRPr="003908B6" w:rsidRDefault="003908B6" w:rsidP="003908B6">
      <w:pPr>
        <w:numPr>
          <w:ilvl w:val="0"/>
          <w:numId w:val="3"/>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READING QUESTIONS: submitting thoughtful questions each week based on that week's reading;</w:t>
      </w:r>
    </w:p>
    <w:p w:rsidR="003908B6" w:rsidRPr="003908B6" w:rsidRDefault="003908B6" w:rsidP="003908B6">
      <w:pPr>
        <w:numPr>
          <w:ilvl w:val="0"/>
          <w:numId w:val="3"/>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DISCUSSION: participating in small-group and full-class discussions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Notes on attendance</w:t>
      </w:r>
      <w:r w:rsidRPr="003908B6">
        <w:rPr>
          <w:rFonts w:ascii="Garamond" w:eastAsia="Times New Roman" w:hAnsi="Garamond" w:cs="Times New Roman"/>
          <w:color w:val="2D3B45"/>
          <w:kern w:val="0"/>
          <w14:ligatures w14:val="none"/>
        </w:rPr>
        <w:t>: You are allowed </w:t>
      </w:r>
      <w:r w:rsidRPr="003908B6">
        <w:rPr>
          <w:rFonts w:ascii="Garamond" w:eastAsia="Times New Roman" w:hAnsi="Garamond" w:cs="Times New Roman"/>
          <w:b/>
          <w:bCs/>
          <w:color w:val="2D3B45"/>
          <w:kern w:val="0"/>
          <w14:ligatures w14:val="none"/>
        </w:rPr>
        <w:t>two unexcused absences without penalty</w:t>
      </w:r>
      <w:r w:rsidRPr="003908B6">
        <w:rPr>
          <w:rFonts w:ascii="Garamond" w:eastAsia="Times New Roman" w:hAnsi="Garamond" w:cs="Times New Roman"/>
          <w:color w:val="2D3B45"/>
          <w:kern w:val="0"/>
          <w14:ligatures w14:val="none"/>
        </w:rPr>
        <w:t>. If you need to miss class for any reason, please contact me as soon as possible so that we can discuss whether the absence will be excused and what sort of documentation will be necessary (if applicable).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Each unexcused absence beyond the first two will result in a deduction from your participation grade.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Notes on reading questions: </w:t>
      </w:r>
      <w:r w:rsidRPr="003908B6">
        <w:rPr>
          <w:rFonts w:ascii="Garamond" w:eastAsia="Times New Roman" w:hAnsi="Garamond" w:cs="Times New Roman"/>
          <w:color w:val="2D3B45"/>
          <w:kern w:val="0"/>
          <w14:ligatures w14:val="none"/>
        </w:rPr>
        <w:t>Each week, you need to submit </w:t>
      </w:r>
      <w:r w:rsidRPr="003908B6">
        <w:rPr>
          <w:rFonts w:ascii="Garamond" w:eastAsia="Times New Roman" w:hAnsi="Garamond" w:cs="Times New Roman"/>
          <w:b/>
          <w:bCs/>
          <w:i/>
          <w:iCs/>
          <w:color w:val="2D3B45"/>
          <w:kern w:val="0"/>
          <w14:ligatures w14:val="none"/>
        </w:rPr>
        <w:t>two thoughtful questions </w:t>
      </w:r>
      <w:r w:rsidRPr="003908B6">
        <w:rPr>
          <w:rFonts w:ascii="Garamond" w:eastAsia="Times New Roman" w:hAnsi="Garamond" w:cs="Times New Roman"/>
          <w:color w:val="2D3B45"/>
          <w:kern w:val="0"/>
          <w14:ligatures w14:val="none"/>
        </w:rPr>
        <w:t xml:space="preserve">about that week's readings. These questions will form the basis of our class discussion on </w:t>
      </w:r>
      <w:r w:rsidR="004A024E" w:rsidRPr="00325209">
        <w:rPr>
          <w:rFonts w:ascii="Garamond" w:eastAsia="Times New Roman" w:hAnsi="Garamond" w:cs="Times New Roman"/>
          <w:color w:val="2D3B45"/>
          <w:kern w:val="0"/>
          <w14:ligatures w14:val="none"/>
        </w:rPr>
        <w:t>Thursday</w:t>
      </w:r>
      <w:r w:rsidRPr="003908B6">
        <w:rPr>
          <w:rFonts w:ascii="Garamond" w:eastAsia="Times New Roman" w:hAnsi="Garamond" w:cs="Times New Roman"/>
          <w:color w:val="2D3B45"/>
          <w:kern w:val="0"/>
          <w14:ligatures w14:val="none"/>
        </w:rPr>
        <w:t xml:space="preserve">. With class discussions in mind, </w:t>
      </w:r>
      <w:r w:rsidR="004A024E" w:rsidRPr="00325209">
        <w:rPr>
          <w:rFonts w:ascii="Garamond" w:eastAsia="Times New Roman" w:hAnsi="Garamond" w:cs="Times New Roman"/>
          <w:color w:val="2D3B45"/>
          <w:kern w:val="0"/>
          <w14:ligatures w14:val="none"/>
        </w:rPr>
        <w:t>your</w:t>
      </w:r>
      <w:r w:rsidRPr="003908B6">
        <w:rPr>
          <w:rFonts w:ascii="Garamond" w:eastAsia="Times New Roman" w:hAnsi="Garamond" w:cs="Times New Roman"/>
          <w:color w:val="2D3B45"/>
          <w:kern w:val="0"/>
          <w14:ligatures w14:val="none"/>
        </w:rPr>
        <w:t xml:space="preserve"> questions </w:t>
      </w:r>
      <w:r w:rsidR="004A024E" w:rsidRPr="00325209">
        <w:rPr>
          <w:rFonts w:ascii="Garamond" w:eastAsia="Times New Roman" w:hAnsi="Garamond" w:cs="Times New Roman"/>
          <w:color w:val="2D3B45"/>
          <w:kern w:val="0"/>
          <w14:ligatures w14:val="none"/>
        </w:rPr>
        <w:t>should</w:t>
      </w:r>
      <w:r w:rsidRPr="003908B6">
        <w:rPr>
          <w:rFonts w:ascii="Garamond" w:eastAsia="Times New Roman" w:hAnsi="Garamond" w:cs="Times New Roman"/>
          <w:color w:val="2D3B45"/>
          <w:kern w:val="0"/>
          <w14:ligatures w14:val="none"/>
        </w:rPr>
        <w:t xml:space="preserve"> be clear and fully fleshed out. If they refer to passages in the reading, you will want to indicate which passage</w:t>
      </w:r>
      <w:r w:rsidR="004A024E" w:rsidRPr="00325209">
        <w:rPr>
          <w:rFonts w:ascii="Garamond" w:eastAsia="Times New Roman" w:hAnsi="Garamond" w:cs="Times New Roman"/>
          <w:color w:val="2D3B45"/>
          <w:kern w:val="0"/>
          <w14:ligatures w14:val="none"/>
        </w:rPr>
        <w:t>s</w:t>
      </w:r>
      <w:r w:rsidRPr="003908B6">
        <w:rPr>
          <w:rFonts w:ascii="Garamond" w:eastAsia="Times New Roman" w:hAnsi="Garamond" w:cs="Times New Roman"/>
          <w:color w:val="2D3B45"/>
          <w:kern w:val="0"/>
          <w14:ligatures w14:val="none"/>
        </w:rPr>
        <w:t xml:space="preserve"> (block quotes or page number references will be helpful).</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Your questions can be based on one reading </w:t>
      </w:r>
      <w:r w:rsidR="004A024E" w:rsidRPr="00325209">
        <w:rPr>
          <w:rFonts w:ascii="Garamond" w:eastAsia="Times New Roman" w:hAnsi="Garamond" w:cs="Times New Roman"/>
          <w:color w:val="2D3B45"/>
          <w:kern w:val="0"/>
          <w14:ligatures w14:val="none"/>
        </w:rPr>
        <w:t>for the week</w:t>
      </w:r>
      <w:r w:rsidRPr="003908B6">
        <w:rPr>
          <w:rFonts w:ascii="Garamond" w:eastAsia="Times New Roman" w:hAnsi="Garamond" w:cs="Times New Roman"/>
          <w:color w:val="2D3B45"/>
          <w:kern w:val="0"/>
          <w14:ligatures w14:val="none"/>
        </w:rPr>
        <w:t xml:space="preserve">, or </w:t>
      </w:r>
      <w:r w:rsidR="004A024E" w:rsidRPr="00325209">
        <w:rPr>
          <w:rFonts w:ascii="Garamond" w:eastAsia="Times New Roman" w:hAnsi="Garamond" w:cs="Times New Roman"/>
          <w:color w:val="2D3B45"/>
          <w:kern w:val="0"/>
          <w14:ligatures w14:val="none"/>
        </w:rPr>
        <w:t xml:space="preserve">more </w:t>
      </w:r>
      <w:r w:rsidRPr="003908B6">
        <w:rPr>
          <w:rFonts w:ascii="Garamond" w:eastAsia="Times New Roman" w:hAnsi="Garamond" w:cs="Times New Roman"/>
          <w:color w:val="2D3B45"/>
          <w:kern w:val="0"/>
          <w14:ligatures w14:val="none"/>
        </w:rPr>
        <w:t>(in weeks with more than one). They may also refer back to questions discussed in class. </w:t>
      </w:r>
    </w:p>
    <w:p w:rsidR="003908B6" w:rsidRPr="003908B6" w:rsidRDefault="004A024E" w:rsidP="003908B6">
      <w:pPr>
        <w:shd w:val="clear" w:color="auto" w:fill="FFFFFF"/>
        <w:spacing w:before="180" w:after="180" w:line="240" w:lineRule="auto"/>
        <w:rPr>
          <w:rFonts w:ascii="Garamond" w:eastAsia="Times New Roman" w:hAnsi="Garamond" w:cs="Times New Roman"/>
          <w:color w:val="2D3B45"/>
          <w:kern w:val="0"/>
          <w14:ligatures w14:val="none"/>
        </w:rPr>
      </w:pPr>
      <w:r w:rsidRPr="00325209">
        <w:rPr>
          <w:rFonts w:ascii="Garamond" w:eastAsia="Times New Roman" w:hAnsi="Garamond" w:cs="Times New Roman"/>
          <w:color w:val="2D3B45"/>
          <w:kern w:val="0"/>
          <w14:ligatures w14:val="none"/>
        </w:rPr>
        <w:t>Y</w:t>
      </w:r>
      <w:r w:rsidR="003908B6" w:rsidRPr="003908B6">
        <w:rPr>
          <w:rFonts w:ascii="Garamond" w:eastAsia="Times New Roman" w:hAnsi="Garamond" w:cs="Times New Roman"/>
          <w:color w:val="2D3B45"/>
          <w:kern w:val="0"/>
          <w14:ligatures w14:val="none"/>
        </w:rPr>
        <w:t xml:space="preserve">our submission for </w:t>
      </w:r>
      <w:r w:rsidRPr="00325209">
        <w:rPr>
          <w:rFonts w:ascii="Garamond" w:eastAsia="Times New Roman" w:hAnsi="Garamond" w:cs="Times New Roman"/>
          <w:color w:val="2D3B45"/>
          <w:kern w:val="0"/>
          <w14:ligatures w14:val="none"/>
        </w:rPr>
        <w:t xml:space="preserve">each reading </w:t>
      </w:r>
      <w:r w:rsidR="003908B6" w:rsidRPr="003908B6">
        <w:rPr>
          <w:rFonts w:ascii="Garamond" w:eastAsia="Times New Roman" w:hAnsi="Garamond" w:cs="Times New Roman"/>
          <w:color w:val="2D3B45"/>
          <w:kern w:val="0"/>
          <w14:ligatures w14:val="none"/>
        </w:rPr>
        <w:t xml:space="preserve">assignment need </w:t>
      </w:r>
      <w:r w:rsidRPr="00325209">
        <w:rPr>
          <w:rFonts w:ascii="Garamond" w:eastAsia="Times New Roman" w:hAnsi="Garamond" w:cs="Times New Roman"/>
          <w:color w:val="2D3B45"/>
          <w:kern w:val="0"/>
          <w14:ligatures w14:val="none"/>
        </w:rPr>
        <w:t>not</w:t>
      </w:r>
      <w:r w:rsidR="003908B6" w:rsidRPr="003908B6">
        <w:rPr>
          <w:rFonts w:ascii="Garamond" w:eastAsia="Times New Roman" w:hAnsi="Garamond" w:cs="Times New Roman"/>
          <w:color w:val="2D3B45"/>
          <w:kern w:val="0"/>
          <w14:ligatures w14:val="none"/>
        </w:rPr>
        <w:t xml:space="preserve"> exceed one paragraph per question.</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Notes on discussions:</w:t>
      </w:r>
      <w:r w:rsidRPr="003908B6">
        <w:rPr>
          <w:rFonts w:ascii="Garamond" w:eastAsia="Times New Roman" w:hAnsi="Garamond" w:cs="Times New Roman"/>
          <w:color w:val="2D3B45"/>
          <w:kern w:val="0"/>
          <w14:ligatures w14:val="none"/>
        </w:rPr>
        <w:t> You are expected to participate in discussions during class, and the participation grade for the course will be determined by your contributions to class. To do well, you should demonstrate consistent, high-quality participation. </w:t>
      </w:r>
      <w:r w:rsidRPr="003908B6">
        <w:rPr>
          <w:rFonts w:ascii="Garamond" w:eastAsia="Times New Roman" w:hAnsi="Garamond" w:cs="Times New Roman"/>
          <w:i/>
          <w:iCs/>
          <w:color w:val="2D3B45"/>
          <w:kern w:val="0"/>
          <w14:ligatures w14:val="none"/>
        </w:rPr>
        <w:t>High-quality</w:t>
      </w:r>
      <w:r w:rsidRPr="003908B6">
        <w:rPr>
          <w:rFonts w:ascii="Garamond" w:eastAsia="Times New Roman" w:hAnsi="Garamond" w:cs="Times New Roman"/>
          <w:color w:val="2D3B45"/>
          <w:kern w:val="0"/>
          <w14:ligatures w14:val="none"/>
        </w:rPr>
        <w:t> contributions to discussion are </w:t>
      </w:r>
      <w:r w:rsidRPr="003908B6">
        <w:rPr>
          <w:rFonts w:ascii="Garamond" w:eastAsia="Times New Roman" w:hAnsi="Garamond" w:cs="Times New Roman"/>
          <w:i/>
          <w:iCs/>
          <w:color w:val="2D3B45"/>
          <w:kern w:val="0"/>
          <w14:ligatures w14:val="none"/>
        </w:rPr>
        <w:t>informed </w:t>
      </w:r>
      <w:r w:rsidRPr="003908B6">
        <w:rPr>
          <w:rFonts w:ascii="Garamond" w:eastAsia="Times New Roman" w:hAnsi="Garamond" w:cs="Times New Roman"/>
          <w:color w:val="2D3B45"/>
          <w:kern w:val="0"/>
          <w14:ligatures w14:val="none"/>
        </w:rPr>
        <w:t>(i.e., show evidence of having done assigned work), </w:t>
      </w:r>
      <w:r w:rsidRPr="003908B6">
        <w:rPr>
          <w:rFonts w:ascii="Garamond" w:eastAsia="Times New Roman" w:hAnsi="Garamond" w:cs="Times New Roman"/>
          <w:i/>
          <w:iCs/>
          <w:color w:val="2D3B45"/>
          <w:kern w:val="0"/>
          <w14:ligatures w14:val="none"/>
        </w:rPr>
        <w:t>thoughtful </w:t>
      </w:r>
      <w:r w:rsidRPr="003908B6">
        <w:rPr>
          <w:rFonts w:ascii="Garamond" w:eastAsia="Times New Roman" w:hAnsi="Garamond" w:cs="Times New Roman"/>
          <w:color w:val="2D3B45"/>
          <w:kern w:val="0"/>
          <w14:ligatures w14:val="none"/>
        </w:rPr>
        <w:t xml:space="preserve">(i.e., show evidence of </w:t>
      </w:r>
      <w:r w:rsidRPr="003908B6">
        <w:rPr>
          <w:rFonts w:ascii="Garamond" w:eastAsia="Times New Roman" w:hAnsi="Garamond" w:cs="Times New Roman"/>
          <w:color w:val="2D3B45"/>
          <w:kern w:val="0"/>
          <w14:ligatures w14:val="none"/>
        </w:rPr>
        <w:lastRenderedPageBreak/>
        <w:t>having understood and considered issues raised in readings and other discussions), and </w:t>
      </w:r>
      <w:r w:rsidRPr="003908B6">
        <w:rPr>
          <w:rFonts w:ascii="Garamond" w:eastAsia="Times New Roman" w:hAnsi="Garamond" w:cs="Times New Roman"/>
          <w:i/>
          <w:iCs/>
          <w:color w:val="2D3B45"/>
          <w:kern w:val="0"/>
          <w14:ligatures w14:val="none"/>
        </w:rPr>
        <w:t>considerate </w:t>
      </w:r>
      <w:r w:rsidRPr="003908B6">
        <w:rPr>
          <w:rFonts w:ascii="Garamond" w:eastAsia="Times New Roman" w:hAnsi="Garamond" w:cs="Times New Roman"/>
          <w:color w:val="2D3B45"/>
          <w:kern w:val="0"/>
          <w14:ligatures w14:val="none"/>
        </w:rPr>
        <w:t>(e.g., take the perspectives of others into account). </w:t>
      </w:r>
      <w:r w:rsidRPr="003908B6">
        <w:rPr>
          <w:rFonts w:ascii="Garamond" w:eastAsia="Times New Roman" w:hAnsi="Garamond" w:cs="Times New Roman"/>
          <w:b/>
          <w:bCs/>
          <w:color w:val="2D3B45"/>
          <w:kern w:val="0"/>
          <w14:ligatures w14:val="none"/>
        </w:rPr>
        <w:t>You will be expected to have read and to be prepared to discuss the texts assigned for each of the class meetings.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 expect students to conduct themselves well in class. Examples of poor conduct include disruptive behavior, falling asleep, sending text messages, etc.</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Below is a summary of course standards for different letter grades for participation (borderline cases will receive “+” or “–” grades as appropriate): </w:t>
      </w:r>
    </w:p>
    <w:p w:rsidR="003908B6" w:rsidRPr="003908B6" w:rsidRDefault="003908B6" w:rsidP="003908B6">
      <w:pPr>
        <w:numPr>
          <w:ilvl w:val="0"/>
          <w:numId w:val="4"/>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A: Outstanding participation in all categories. Highly engaged during lecture and discussion section, with active participation in small group discussions and frequent constructive contributions to full-class discussions. </w:t>
      </w:r>
      <w:proofErr w:type="spellStart"/>
      <w:r w:rsidRPr="003908B6">
        <w:rPr>
          <w:rFonts w:ascii="Garamond" w:eastAsia="Times New Roman" w:hAnsi="Garamond" w:cs="Times New Roman"/>
          <w:color w:val="2D3B45"/>
          <w:kern w:val="0"/>
          <w14:ligatures w14:val="none"/>
        </w:rPr>
        <w:t>Perusall</w:t>
      </w:r>
      <w:proofErr w:type="spellEnd"/>
      <w:r w:rsidRPr="003908B6">
        <w:rPr>
          <w:rFonts w:ascii="Garamond" w:eastAsia="Times New Roman" w:hAnsi="Garamond" w:cs="Times New Roman"/>
          <w:color w:val="2D3B45"/>
          <w:kern w:val="0"/>
          <w14:ligatures w14:val="none"/>
        </w:rPr>
        <w:t xml:space="preserve"> annotations, ad hoc assignments, and in-class contributions reflect excellent understanding of and critical engagement with the content of lectures and assigned readings.  </w:t>
      </w:r>
    </w:p>
    <w:p w:rsidR="003908B6" w:rsidRPr="003908B6" w:rsidRDefault="003908B6" w:rsidP="003908B6">
      <w:pPr>
        <w:numPr>
          <w:ilvl w:val="0"/>
          <w:numId w:val="4"/>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B: Good participation in all categories. Moderately engaged during lecture and discussion section, with active participation in small group discussions and occasional constructive contributions to full-class discussions. </w:t>
      </w:r>
      <w:proofErr w:type="spellStart"/>
      <w:r w:rsidRPr="003908B6">
        <w:rPr>
          <w:rFonts w:ascii="Garamond" w:eastAsia="Times New Roman" w:hAnsi="Garamond" w:cs="Times New Roman"/>
          <w:color w:val="2D3B45"/>
          <w:kern w:val="0"/>
          <w14:ligatures w14:val="none"/>
        </w:rPr>
        <w:t>Perusall</w:t>
      </w:r>
      <w:proofErr w:type="spellEnd"/>
      <w:r w:rsidRPr="003908B6">
        <w:rPr>
          <w:rFonts w:ascii="Garamond" w:eastAsia="Times New Roman" w:hAnsi="Garamond" w:cs="Times New Roman"/>
          <w:color w:val="2D3B45"/>
          <w:kern w:val="0"/>
          <w14:ligatures w14:val="none"/>
        </w:rPr>
        <w:t xml:space="preserve"> annotations, ad hoc assignments, and in-class contributions reflect significant understanding of and critical engagement with the content of lectures and assigned readings. </w:t>
      </w:r>
    </w:p>
    <w:p w:rsidR="003908B6" w:rsidRPr="003908B6" w:rsidRDefault="003908B6" w:rsidP="003908B6">
      <w:pPr>
        <w:numPr>
          <w:ilvl w:val="0"/>
          <w:numId w:val="4"/>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C: Minimally adequate participation in all categories. Minimally engaged during lecture and discussion section. </w:t>
      </w:r>
      <w:proofErr w:type="spellStart"/>
      <w:r w:rsidRPr="003908B6">
        <w:rPr>
          <w:rFonts w:ascii="Garamond" w:eastAsia="Times New Roman" w:hAnsi="Garamond" w:cs="Times New Roman"/>
          <w:color w:val="2D3B45"/>
          <w:kern w:val="0"/>
          <w14:ligatures w14:val="none"/>
        </w:rPr>
        <w:t>Perusall</w:t>
      </w:r>
      <w:proofErr w:type="spellEnd"/>
      <w:r w:rsidRPr="003908B6">
        <w:rPr>
          <w:rFonts w:ascii="Garamond" w:eastAsia="Times New Roman" w:hAnsi="Garamond" w:cs="Times New Roman"/>
          <w:color w:val="2D3B45"/>
          <w:kern w:val="0"/>
          <w14:ligatures w14:val="none"/>
        </w:rPr>
        <w:t xml:space="preserve"> annotations, ad hoc assignments, and in-class contributions reflect limited understanding of and critical engagement with the content of lectures and assigned readings. </w:t>
      </w:r>
    </w:p>
    <w:p w:rsidR="003908B6" w:rsidRPr="003908B6" w:rsidRDefault="003908B6" w:rsidP="003908B6">
      <w:pPr>
        <w:numPr>
          <w:ilvl w:val="0"/>
          <w:numId w:val="4"/>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D or F: Inadequate participation in one or more categories.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i/>
          <w:iCs/>
          <w:color w:val="2D3B45"/>
          <w:kern w:val="0"/>
          <w14:ligatures w14:val="none"/>
        </w:rPr>
        <w:t>Participation is worth 20% of your final grade.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Essay Assignments</w:t>
      </w:r>
      <w:r w:rsidRPr="003908B6">
        <w:rPr>
          <w:rFonts w:ascii="Garamond" w:eastAsia="Times New Roman" w:hAnsi="Garamond" w:cs="Times New Roman"/>
          <w:color w:val="2D3B45"/>
          <w:kern w:val="0"/>
          <w14:ligatures w14:val="none"/>
        </w:rPr>
        <w:t> Essays assignments will be worth 80% of your final grade. You will be required to write three essays for this course. Detailed essay instructions and prompts will be distributed at least two weeks prior to the due date of the essay assignment.</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numPr>
          <w:ilvl w:val="0"/>
          <w:numId w:val="5"/>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Essay #1: 1000 - 1200 words. Due: (subject to change, with notice). Submitted via an Assignment link on Canvas.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i/>
          <w:iCs/>
          <w:color w:val="2D3B45"/>
          <w:kern w:val="0"/>
          <w14:ligatures w14:val="none"/>
        </w:rPr>
        <w:t>Worth 15% of your final grade.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i/>
          <w:iCs/>
          <w:color w:val="2D3B45"/>
          <w:kern w:val="0"/>
          <w14:ligatures w14:val="none"/>
        </w:rPr>
        <w:t> </w:t>
      </w:r>
    </w:p>
    <w:p w:rsidR="003908B6" w:rsidRPr="003908B6" w:rsidRDefault="003908B6" w:rsidP="003908B6">
      <w:pPr>
        <w:numPr>
          <w:ilvl w:val="0"/>
          <w:numId w:val="6"/>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Essay #2: 1500 - 1700 words. Due: (subject to change, with notice). Submitted via an Assignment link on Canvas.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i/>
          <w:iCs/>
          <w:color w:val="2D3B45"/>
          <w:kern w:val="0"/>
          <w14:ligatures w14:val="none"/>
        </w:rPr>
        <w:t>Worth 25% of your final grade.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i/>
          <w:iCs/>
          <w:color w:val="2D3B45"/>
          <w:kern w:val="0"/>
          <w14:ligatures w14:val="none"/>
        </w:rPr>
        <w:lastRenderedPageBreak/>
        <w:t> </w:t>
      </w:r>
    </w:p>
    <w:p w:rsidR="003908B6" w:rsidRPr="003908B6" w:rsidRDefault="003908B6" w:rsidP="003908B6">
      <w:pPr>
        <w:numPr>
          <w:ilvl w:val="0"/>
          <w:numId w:val="7"/>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Essay #3: 2000 - 2200 words. Due (subject to change, with notice). Submitted via an Assignment link on Canvas.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i/>
          <w:iCs/>
          <w:color w:val="2D3B45"/>
          <w:kern w:val="0"/>
          <w14:ligatures w14:val="none"/>
        </w:rPr>
        <w:t>Worth 30% of your final grade.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i/>
          <w:iCs/>
          <w:color w:val="2D3B45"/>
          <w:kern w:val="0"/>
          <w14:ligatures w14:val="none"/>
        </w:rPr>
        <w:t>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ESSAY SUBMISSION AND LATE SUBMISSION POLICY</w:t>
      </w:r>
    </w:p>
    <w:p w:rsidR="003908B6" w:rsidRPr="003908B6" w:rsidRDefault="003908B6" w:rsidP="003908B6">
      <w:pPr>
        <w:shd w:val="clear" w:color="auto" w:fill="FFFFFF"/>
        <w:spacing w:after="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In general, requirements for section attendance, assignments, and other work are consistent with university policies specified at: </w:t>
      </w:r>
      <w:hyperlink r:id="rId5" w:tgtFrame="_blank" w:history="1">
        <w:r w:rsidRPr="003908B6">
          <w:rPr>
            <w:rFonts w:ascii="Garamond" w:eastAsia="Times New Roman" w:hAnsi="Garamond" w:cs="Times New Roman"/>
            <w:color w:val="0000FF"/>
            <w:kern w:val="0"/>
            <w:u w:val="single"/>
            <w14:ligatures w14:val="none"/>
          </w:rPr>
          <w:t>https://catalog.ufl.edu/ugrad/current/regulations/info/attendance.aspx</w:t>
        </w:r>
        <w:r w:rsidRPr="003908B6">
          <w:rPr>
            <w:rFonts w:ascii="Garamond" w:eastAsia="Times New Roman" w:hAnsi="Garamond" w:cs="Times New Roman"/>
            <w:color w:val="0000FF"/>
            <w:kern w:val="0"/>
            <w:u w:val="single"/>
            <w:bdr w:val="none" w:sz="0" w:space="0" w:color="auto" w:frame="1"/>
            <w14:ligatures w14:val="none"/>
          </w:rPr>
          <w:t>Links to an external site.</w:t>
        </w:r>
      </w:hyperlink>
      <w:r w:rsidRPr="003908B6">
        <w:rPr>
          <w:rFonts w:ascii="Garamond" w:eastAsia="Times New Roman" w:hAnsi="Garamond" w:cs="Times New Roman"/>
          <w:color w:val="2D3B45"/>
          <w:kern w:val="0"/>
          <w14:ligatures w14:val="none"/>
        </w:rPr>
        <w:t>.</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More specifically, the following policies will be adhered to:</w:t>
      </w:r>
    </w:p>
    <w:p w:rsidR="003908B6" w:rsidRPr="003908B6" w:rsidRDefault="003908B6" w:rsidP="003908B6">
      <w:pPr>
        <w:numPr>
          <w:ilvl w:val="0"/>
          <w:numId w:val="8"/>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All assignments will be submitted online via an assignment link on the course’s Canvass page. Essays must be submitted as either .doc or .docx files. Failure to submit in these formats will result in penalties and will require resubmission in the proper format.</w:t>
      </w:r>
    </w:p>
    <w:p w:rsidR="003908B6" w:rsidRPr="003908B6" w:rsidRDefault="003908B6" w:rsidP="003908B6">
      <w:pPr>
        <w:numPr>
          <w:ilvl w:val="0"/>
          <w:numId w:val="8"/>
        </w:numPr>
        <w:shd w:val="clear" w:color="auto" w:fill="FFFFFF"/>
        <w:spacing w:before="100" w:beforeAutospacing="1" w:after="100" w:afterAutospacing="1" w:line="240" w:lineRule="auto"/>
        <w:ind w:left="1095"/>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Late submission of papers will be penalized 3% for each day that the assignment is late. For instance, if a paper is due on Friday at 5:00pm, it will be counted as 1 day late if submitted between 5:01pm Friday and 5:00pm Saturday (submissions between 5:01pm Saturday and 5:00pm Sunday will count as 2 days late, and so on).</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GRADE SCALE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This course will use the following grade scale: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35"/>
        <w:gridCol w:w="1005"/>
        <w:gridCol w:w="2070"/>
        <w:gridCol w:w="630"/>
        <w:gridCol w:w="1080"/>
        <w:gridCol w:w="1890"/>
        <w:gridCol w:w="1335"/>
      </w:tblGrid>
      <w:tr w:rsidR="003908B6" w:rsidRPr="003908B6" w:rsidTr="003908B6">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0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A</w:t>
            </w:r>
          </w:p>
        </w:tc>
        <w:tc>
          <w:tcPr>
            <w:tcW w:w="207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94 – 100%</w:t>
            </w:r>
          </w:p>
        </w:tc>
        <w:tc>
          <w:tcPr>
            <w:tcW w:w="63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8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C</w:t>
            </w:r>
          </w:p>
        </w:tc>
        <w:tc>
          <w:tcPr>
            <w:tcW w:w="189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74 – 76%</w:t>
            </w:r>
          </w:p>
        </w:tc>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r>
      <w:tr w:rsidR="003908B6" w:rsidRPr="003908B6" w:rsidTr="003908B6">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0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A-</w:t>
            </w:r>
          </w:p>
        </w:tc>
        <w:tc>
          <w:tcPr>
            <w:tcW w:w="207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90 – 93%</w:t>
            </w:r>
          </w:p>
        </w:tc>
        <w:tc>
          <w:tcPr>
            <w:tcW w:w="63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8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C-</w:t>
            </w:r>
          </w:p>
        </w:tc>
        <w:tc>
          <w:tcPr>
            <w:tcW w:w="189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70 – 73%</w:t>
            </w:r>
          </w:p>
        </w:tc>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r>
      <w:tr w:rsidR="003908B6" w:rsidRPr="003908B6" w:rsidTr="003908B6">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0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B+</w:t>
            </w:r>
          </w:p>
        </w:tc>
        <w:tc>
          <w:tcPr>
            <w:tcW w:w="207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87 – 89%</w:t>
            </w:r>
          </w:p>
        </w:tc>
        <w:tc>
          <w:tcPr>
            <w:tcW w:w="63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8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D+</w:t>
            </w:r>
          </w:p>
        </w:tc>
        <w:tc>
          <w:tcPr>
            <w:tcW w:w="189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67 – 69%</w:t>
            </w:r>
          </w:p>
        </w:tc>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r>
      <w:tr w:rsidR="003908B6" w:rsidRPr="003908B6" w:rsidTr="003908B6">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0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B</w:t>
            </w:r>
          </w:p>
        </w:tc>
        <w:tc>
          <w:tcPr>
            <w:tcW w:w="207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84 – 86%</w:t>
            </w:r>
          </w:p>
        </w:tc>
        <w:tc>
          <w:tcPr>
            <w:tcW w:w="63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8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D</w:t>
            </w:r>
          </w:p>
        </w:tc>
        <w:tc>
          <w:tcPr>
            <w:tcW w:w="189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64 – 66%</w:t>
            </w:r>
          </w:p>
        </w:tc>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r>
      <w:tr w:rsidR="003908B6" w:rsidRPr="003908B6" w:rsidTr="003908B6">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lastRenderedPageBreak/>
              <w:t> </w:t>
            </w:r>
          </w:p>
        </w:tc>
        <w:tc>
          <w:tcPr>
            <w:tcW w:w="100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B-</w:t>
            </w:r>
          </w:p>
        </w:tc>
        <w:tc>
          <w:tcPr>
            <w:tcW w:w="207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80 – 83%</w:t>
            </w:r>
          </w:p>
        </w:tc>
        <w:tc>
          <w:tcPr>
            <w:tcW w:w="63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8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D-</w:t>
            </w:r>
          </w:p>
        </w:tc>
        <w:tc>
          <w:tcPr>
            <w:tcW w:w="189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60 – 63%</w:t>
            </w:r>
          </w:p>
        </w:tc>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r>
      <w:tr w:rsidR="003908B6" w:rsidRPr="003908B6" w:rsidTr="003908B6">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0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C+</w:t>
            </w:r>
          </w:p>
        </w:tc>
        <w:tc>
          <w:tcPr>
            <w:tcW w:w="207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77 – 79%</w:t>
            </w:r>
          </w:p>
        </w:tc>
        <w:tc>
          <w:tcPr>
            <w:tcW w:w="63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c>
          <w:tcPr>
            <w:tcW w:w="108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E</w:t>
            </w:r>
          </w:p>
        </w:tc>
        <w:tc>
          <w:tcPr>
            <w:tcW w:w="1890"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&lt;60</w:t>
            </w:r>
          </w:p>
        </w:tc>
        <w:tc>
          <w:tcPr>
            <w:tcW w:w="1335" w:type="dxa"/>
            <w:shd w:val="clear" w:color="auto" w:fill="FFFFFF"/>
            <w:tcMar>
              <w:top w:w="30" w:type="dxa"/>
              <w:left w:w="30" w:type="dxa"/>
              <w:bottom w:w="30" w:type="dxa"/>
              <w:right w:w="30" w:type="dxa"/>
            </w:tcMar>
            <w:vAlign w:val="center"/>
            <w:hideMark/>
          </w:tcPr>
          <w:p w:rsidR="003908B6" w:rsidRPr="003908B6" w:rsidRDefault="003908B6" w:rsidP="003908B6">
            <w:pPr>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tc>
      </w:tr>
    </w:tbl>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Further information on UF's grading policy can be found at catalog.ufl.edu/</w:t>
      </w:r>
      <w:proofErr w:type="spellStart"/>
      <w:r w:rsidRPr="003908B6">
        <w:rPr>
          <w:rFonts w:ascii="Garamond" w:eastAsia="Times New Roman" w:hAnsi="Garamond" w:cs="Times New Roman"/>
          <w:color w:val="2D3B45"/>
          <w:kern w:val="0"/>
          <w14:ligatures w14:val="none"/>
        </w:rPr>
        <w:t>ugrad</w:t>
      </w:r>
      <w:proofErr w:type="spellEnd"/>
      <w:r w:rsidRPr="003908B6">
        <w:rPr>
          <w:rFonts w:ascii="Garamond" w:eastAsia="Times New Roman" w:hAnsi="Garamond" w:cs="Times New Roman"/>
          <w:color w:val="2D3B45"/>
          <w:kern w:val="0"/>
          <w14:ligatures w14:val="none"/>
        </w:rPr>
        <w:t>/current/regulations/info/grades.aspx.</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ADDITIONAL INFORMATION</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Course website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This course is supplemented by online content in the e-Learning environment known as "Canvas." To login to the e-Learning site for this course, go to https://elearning.ufl.edu/, click the e-Learning in Canvas button, and on the next page enter your </w:t>
      </w:r>
      <w:proofErr w:type="spellStart"/>
      <w:r w:rsidRPr="003908B6">
        <w:rPr>
          <w:rFonts w:ascii="Garamond" w:eastAsia="Times New Roman" w:hAnsi="Garamond" w:cs="Times New Roman"/>
          <w:color w:val="2D3B45"/>
          <w:kern w:val="0"/>
          <w14:ligatures w14:val="none"/>
        </w:rPr>
        <w:t>Gatorlink</w:t>
      </w:r>
      <w:proofErr w:type="spellEnd"/>
      <w:r w:rsidRPr="003908B6">
        <w:rPr>
          <w:rFonts w:ascii="Garamond" w:eastAsia="Times New Roman" w:hAnsi="Garamond" w:cs="Times New Roman"/>
          <w:color w:val="2D3B45"/>
          <w:kern w:val="0"/>
          <w14:ligatures w14:val="none"/>
        </w:rPr>
        <w:t xml:space="preserve"> username and password. You can then access the course e-Learning environment by selecting PHH3610 from the Courses pull-down menu at the top of the page. If you encounter any difficulties logging in or accessing any of the course content, contact the UF Computing Help Desk at (352) 392-4537.</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Instructor Contact</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Please email me if you have (</w:t>
      </w:r>
      <w:proofErr w:type="spellStart"/>
      <w:r w:rsidRPr="003908B6">
        <w:rPr>
          <w:rFonts w:ascii="Garamond" w:eastAsia="Times New Roman" w:hAnsi="Garamond" w:cs="Times New Roman"/>
          <w:color w:val="2D3B45"/>
          <w:kern w:val="0"/>
          <w14:ligatures w14:val="none"/>
        </w:rPr>
        <w:t>i</w:t>
      </w:r>
      <w:proofErr w:type="spellEnd"/>
      <w:r w:rsidRPr="003908B6">
        <w:rPr>
          <w:rFonts w:ascii="Garamond" w:eastAsia="Times New Roman" w:hAnsi="Garamond" w:cs="Times New Roman"/>
          <w:color w:val="2D3B45"/>
          <w:kern w:val="0"/>
          <w14:ligatures w14:val="none"/>
        </w:rPr>
        <w:t>) administrative questions that your syllabus and other documents cannot answer, (ii) if you want to arrange a meeting, or (iii) if you need to inform me of relevant difficulties on your end.  If you have substantive philosophical questions, email is not the best place for these; please come visit me in office hours so that we can have a better conversation.</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Electronic Devices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Electronic devices—including phones, computers, tablets, and recording devices—should be silenced, and you will need to</w:t>
      </w:r>
      <w:r w:rsidRPr="003908B6">
        <w:rPr>
          <w:rFonts w:ascii="Garamond" w:eastAsia="Times New Roman" w:hAnsi="Garamond" w:cs="Times New Roman"/>
          <w:b/>
          <w:bCs/>
          <w:color w:val="2D3B45"/>
          <w:kern w:val="0"/>
          <w14:ligatures w14:val="none"/>
        </w:rPr>
        <w:t> suspend interaction with them during class</w:t>
      </w:r>
      <w:r w:rsidRPr="003908B6">
        <w:rPr>
          <w:rFonts w:ascii="Garamond" w:eastAsia="Times New Roman" w:hAnsi="Garamond" w:cs="Times New Roman"/>
          <w:color w:val="2D3B45"/>
          <w:kern w:val="0"/>
          <w14:ligatures w14:val="none"/>
        </w:rPr>
        <w:t>. This means you will need to bring something to take notes with during class. </w:t>
      </w:r>
      <w:r w:rsidRPr="003908B6">
        <w:rPr>
          <w:rFonts w:ascii="Garamond" w:eastAsia="Times New Roman" w:hAnsi="Garamond" w:cs="Times New Roman"/>
          <w:i/>
          <w:iCs/>
          <w:color w:val="2D3B45"/>
          <w:kern w:val="0"/>
          <w14:ligatures w14:val="none"/>
        </w:rPr>
        <w:t xml:space="preserve">You may use a tablet (e.g., an </w:t>
      </w:r>
      <w:proofErr w:type="spellStart"/>
      <w:r w:rsidRPr="003908B6">
        <w:rPr>
          <w:rFonts w:ascii="Garamond" w:eastAsia="Times New Roman" w:hAnsi="Garamond" w:cs="Times New Roman"/>
          <w:i/>
          <w:iCs/>
          <w:color w:val="2D3B45"/>
          <w:kern w:val="0"/>
          <w14:ligatures w14:val="none"/>
        </w:rPr>
        <w:t>Ipad</w:t>
      </w:r>
      <w:proofErr w:type="spellEnd"/>
      <w:r w:rsidRPr="003908B6">
        <w:rPr>
          <w:rFonts w:ascii="Garamond" w:eastAsia="Times New Roman" w:hAnsi="Garamond" w:cs="Times New Roman"/>
          <w:i/>
          <w:iCs/>
          <w:color w:val="2D3B45"/>
          <w:kern w:val="0"/>
          <w14:ligatures w14:val="none"/>
        </w:rPr>
        <w:t>) to take notes.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Randomized studies have shown that students using laptops do significantly worse on exams that test their comprehension of the material. This is true even when students are not multitasking. Typing shifts students into transcription mode, whereas students writing by hand are actively processing course material.</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Students are allowed by law to record video or audio of class lectures. If you choose to do this, please set it up prior to class start time. The purposes for which these recordings may be used are strictly controlled. A student who circulates a recording, even to another student in the course, without written consent of the instructor may be subject to a civil cause of action instituted by a </w:t>
      </w:r>
      <w:r w:rsidRPr="003908B6">
        <w:rPr>
          <w:rFonts w:ascii="Garamond" w:eastAsia="Times New Roman" w:hAnsi="Garamond" w:cs="Times New Roman"/>
          <w:color w:val="2D3B45"/>
          <w:kern w:val="0"/>
          <w14:ligatures w14:val="none"/>
        </w:rPr>
        <w:lastRenderedPageBreak/>
        <w:t>person injured by the publication and/or discipline under UF Regulation 4.040 Student Honor Code and Student Conduct Code.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Academic Honesty</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Please review the following guidelines on academic honesty:</w:t>
      </w:r>
    </w:p>
    <w:p w:rsidR="003908B6" w:rsidRPr="003908B6" w:rsidRDefault="003908B6" w:rsidP="003908B6">
      <w:pPr>
        <w:numPr>
          <w:ilvl w:val="0"/>
          <w:numId w:val="9"/>
        </w:numPr>
        <w:shd w:val="clear" w:color="auto" w:fill="FFFFFF"/>
        <w:spacing w:beforeAutospacing="1" w:after="0" w:afterAutospacing="1" w:line="240" w:lineRule="auto"/>
        <w:ind w:left="1095"/>
        <w:rPr>
          <w:rFonts w:ascii="Garamond" w:eastAsia="Times New Roman" w:hAnsi="Garamond" w:cs="Times New Roman"/>
          <w:color w:val="2D3B45"/>
          <w:kern w:val="0"/>
          <w14:ligatures w14:val="none"/>
        </w:rPr>
      </w:pPr>
      <w:hyperlink r:id="rId6" w:tgtFrame="_blank" w:history="1">
        <w:r w:rsidRPr="003908B6">
          <w:rPr>
            <w:rFonts w:ascii="Garamond" w:eastAsia="Times New Roman" w:hAnsi="Garamond" w:cs="Times New Roman"/>
            <w:color w:val="0000FF"/>
            <w:kern w:val="0"/>
            <w:u w:val="single"/>
            <w14:ligatures w14:val="none"/>
          </w:rPr>
          <w:t>https://guides.uflib.ufl.edu/copyright/plagiarism</w:t>
        </w:r>
        <w:r w:rsidRPr="003908B6">
          <w:rPr>
            <w:rFonts w:ascii="Garamond" w:eastAsia="Times New Roman" w:hAnsi="Garamond" w:cs="Times New Roman"/>
            <w:color w:val="0000FF"/>
            <w:kern w:val="0"/>
            <w:u w:val="single"/>
            <w:bdr w:val="none" w:sz="0" w:space="0" w:color="auto" w:frame="1"/>
            <w14:ligatures w14:val="none"/>
          </w:rPr>
          <w:t>Links to an external site.</w:t>
        </w:r>
      </w:hyperlink>
    </w:p>
    <w:p w:rsidR="003908B6" w:rsidRPr="003908B6" w:rsidRDefault="003908B6" w:rsidP="003908B6">
      <w:pPr>
        <w:numPr>
          <w:ilvl w:val="0"/>
          <w:numId w:val="9"/>
        </w:numPr>
        <w:shd w:val="clear" w:color="auto" w:fill="FFFFFF"/>
        <w:spacing w:beforeAutospacing="1" w:after="0" w:afterAutospacing="1" w:line="240" w:lineRule="auto"/>
        <w:ind w:left="1095"/>
        <w:rPr>
          <w:rFonts w:ascii="Garamond" w:eastAsia="Times New Roman" w:hAnsi="Garamond" w:cs="Times New Roman"/>
          <w:color w:val="2D3B45"/>
          <w:kern w:val="0"/>
          <w14:ligatures w14:val="none"/>
        </w:rPr>
      </w:pPr>
      <w:hyperlink r:id="rId7" w:tgtFrame="_blank" w:history="1">
        <w:r w:rsidRPr="003908B6">
          <w:rPr>
            <w:rFonts w:ascii="Garamond" w:eastAsia="Times New Roman" w:hAnsi="Garamond" w:cs="Times New Roman"/>
            <w:color w:val="0000FF"/>
            <w:kern w:val="0"/>
            <w:u w:val="single"/>
            <w14:ligatures w14:val="none"/>
          </w:rPr>
          <w:t>https://flexible.dce.ufl.edu/media/flexibledceufledu/documents/uf_policy_student_conduct.pdf</w:t>
        </w:r>
        <w:r w:rsidRPr="003908B6">
          <w:rPr>
            <w:rFonts w:ascii="Garamond" w:eastAsia="Times New Roman" w:hAnsi="Garamond" w:cs="Times New Roman"/>
            <w:color w:val="0000FF"/>
            <w:kern w:val="0"/>
            <w:u w:val="single"/>
            <w:bdr w:val="none" w:sz="0" w:space="0" w:color="auto" w:frame="1"/>
            <w14:ligatures w14:val="none"/>
          </w:rPr>
          <w:t>Links to an external site.</w:t>
        </w:r>
      </w:hyperlink>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All sources and assistance used in preparing your papers and presentations must be precisely and explicitly acknowledged</w:t>
      </w:r>
      <w:r w:rsidRPr="003908B6">
        <w:rPr>
          <w:rFonts w:ascii="Garamond" w:eastAsia="Times New Roman" w:hAnsi="Garamond" w:cs="Times New Roman"/>
          <w:color w:val="2D3B45"/>
          <w:kern w:val="0"/>
          <w14:ligatures w14:val="none"/>
        </w:rPr>
        <w:t>.  The web creates special risks here. Cutting and pasting even a few words from a web page or paraphrasing material without a reference constitutes plagiarism. If you are not sure how to refer to something you find on the internet, you can always give the URL.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Please note: </w:t>
      </w:r>
      <w:r w:rsidRPr="003908B6">
        <w:rPr>
          <w:rFonts w:ascii="Garamond" w:eastAsia="Times New Roman" w:hAnsi="Garamond" w:cs="Times New Roman"/>
          <w:b/>
          <w:bCs/>
          <w:color w:val="2D3B45"/>
          <w:kern w:val="0"/>
          <w14:ligatures w14:val="none"/>
        </w:rPr>
        <w:t>“self-plagiarism”</w:t>
      </w:r>
      <w:r w:rsidRPr="003908B6">
        <w:rPr>
          <w:rFonts w:ascii="Garamond" w:eastAsia="Times New Roman" w:hAnsi="Garamond" w:cs="Times New Roman"/>
          <w:color w:val="2D3B45"/>
          <w:kern w:val="0"/>
          <w14:ligatures w14:val="none"/>
        </w:rPr>
        <w:t>, in which you submit work for one class that you completed for another, is still plagiarism, and will be treated as such.</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b/>
          <w:bCs/>
          <w:color w:val="2D3B45"/>
          <w:kern w:val="0"/>
          <w14:ligatures w14:val="none"/>
        </w:rPr>
        <w:t>Students are not permitted to use large language models (such as ChatGPT) or other AI-based text generation tools to complete written assignments for this course.</w:t>
      </w:r>
      <w:r w:rsidRPr="003908B6">
        <w:rPr>
          <w:rFonts w:ascii="Garamond" w:eastAsia="Times New Roman" w:hAnsi="Garamond" w:cs="Times New Roman"/>
          <w:color w:val="2D3B45"/>
          <w:kern w:val="0"/>
          <w14:ligatures w14:val="none"/>
        </w:rPr>
        <w:t> Submitting work produced using one of these tools without prior written authorization constitutes academic dishonesty.</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If you are unsure about what constitutes plagiarism, or about how to properly cite and acknowledge other work, please come and chat to me!</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You should expect the minimum penalty for academic dishonesty to be a grade of E for the class (not just the assignment). All incidents of academic dishonesty will be reported to Student Judicial Affairs. Repeat offenders may be penalized by suspension or expulsion from the university.</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i/>
          <w:iCs/>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Students Requiring Accommodation</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Students with disabilities requesting accommodations should first register with the Disability Resource Center (352-392-8565, www.dso.ufl.edu/drc/) by providing appropriate documentation. Once registered, students will receive an accommodation letter which must be presented to the instructor when requesting accommodation. Students with disabilities should follow this procedure as early as possible in the semester.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Classroom Conduct</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lastRenderedPageBreak/>
        <w:t>Students and faculty each have responsibility for maintaining an appropriate learning environment. Professional courtesy and sensitivity are especially important with respect to individuals and topics dealing with differences of race, culture, religion, politics, sexual orientation, gender, gender variance, and nationalities. Class rosters are provided to the instructor with the student’s legal name. I will gladly honor your request to address you by an alternate name or gender pronoun. Please advise me of this preference early in the semester so that I may make appropriate changes to my records.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Attendance, Illness, Religious Holidays, and Twelve Day Rule</w:t>
      </w:r>
    </w:p>
    <w:p w:rsidR="003908B6" w:rsidRPr="003908B6" w:rsidRDefault="003908B6" w:rsidP="003908B6">
      <w:pPr>
        <w:shd w:val="clear" w:color="auto" w:fill="FFFFFF"/>
        <w:spacing w:after="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Requirements for class attendance, religious holidays, and make-up exams, assignments, and other work in this course are consistent with university policies that can be found at: </w:t>
      </w:r>
      <w:hyperlink r:id="rId8" w:tgtFrame="_blank" w:history="1">
        <w:r w:rsidRPr="003908B6">
          <w:rPr>
            <w:rFonts w:ascii="Garamond" w:eastAsia="Times New Roman" w:hAnsi="Garamond" w:cs="Times New Roman"/>
            <w:color w:val="0000FF"/>
            <w:kern w:val="0"/>
            <w:u w:val="single"/>
            <w14:ligatures w14:val="none"/>
          </w:rPr>
          <w:t>https://catalog.ufl.edu/ugrad/current/regulations/info/attendance.aspx</w:t>
        </w:r>
        <w:r w:rsidRPr="003908B6">
          <w:rPr>
            <w:rFonts w:ascii="Garamond" w:eastAsia="Times New Roman" w:hAnsi="Garamond" w:cs="Times New Roman"/>
            <w:color w:val="0000FF"/>
            <w:kern w:val="0"/>
            <w:u w:val="single"/>
            <w:bdr w:val="none" w:sz="0" w:space="0" w:color="auto" w:frame="1"/>
            <w14:ligatures w14:val="none"/>
          </w:rPr>
          <w:t>Links to an external site.</w:t>
        </w:r>
      </w:hyperlink>
      <w:r w:rsidRPr="003908B6">
        <w:rPr>
          <w:rFonts w:ascii="Garamond" w:eastAsia="Times New Roman" w:hAnsi="Garamond" w:cs="Times New Roman"/>
          <w:color w:val="2D3B45"/>
          <w:kern w:val="0"/>
          <w14:ligatures w14:val="none"/>
        </w:rPr>
        <w:t>.</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Excerpt from the statement on absences: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xml:space="preserve">“Absences count from the </w:t>
      </w:r>
      <w:proofErr w:type="gramStart"/>
      <w:r w:rsidRPr="003908B6">
        <w:rPr>
          <w:rFonts w:ascii="Garamond" w:eastAsia="Times New Roman" w:hAnsi="Garamond" w:cs="Times New Roman"/>
          <w:color w:val="2D3B45"/>
          <w:kern w:val="0"/>
          <w14:ligatures w14:val="none"/>
        </w:rPr>
        <w:t>first class</w:t>
      </w:r>
      <w:proofErr w:type="gramEnd"/>
      <w:r w:rsidRPr="003908B6">
        <w:rPr>
          <w:rFonts w:ascii="Garamond" w:eastAsia="Times New Roman" w:hAnsi="Garamond" w:cs="Times New Roman"/>
          <w:color w:val="2D3B45"/>
          <w:kern w:val="0"/>
          <w14:ligatures w14:val="none"/>
        </w:rPr>
        <w:t xml:space="preserve"> meeting. In general, acceptable reasons for absence from or failure to participate in class include illness, serious family emergencies, special curricular requirements (e.g., judging trips, field trips, professional conferences), military obligation, severe weather conditions, religious holidays, and participation in official university activities such as music performances, athletic competition or debate. Absences from class for court-imposed legal obligations (e.g., jury duty or subpoena) must be excused. Other reasons also may be approved.”</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Course evaluation process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Students are expected to provide feedback on the quality of instruction in this course by completing online evaluations at https://evaluations.ufl.edu. Evaluations are typically open during the last two or three weeks of the semester, but students will be given specific times when they are open. Summary results of these assessments are available to students at https://evaluations.ufl.edu/results/</w:t>
      </w:r>
    </w:p>
    <w:p w:rsidR="003908B6" w:rsidRPr="003908B6" w:rsidRDefault="003908B6" w:rsidP="003908B6">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Counseling and wellness/Emergencies</w:t>
      </w:r>
    </w:p>
    <w:p w:rsidR="003908B6" w:rsidRPr="003908B6" w:rsidRDefault="003908B6" w:rsidP="003908B6">
      <w:pPr>
        <w:shd w:val="clear" w:color="auto" w:fill="FFFFFF"/>
        <w:spacing w:after="0" w:line="240" w:lineRule="auto"/>
        <w:rPr>
          <w:rFonts w:ascii="Garamond" w:eastAsia="Times New Roman" w:hAnsi="Garamond" w:cs="Times New Roman"/>
          <w:color w:val="2D3B45"/>
          <w:kern w:val="0"/>
          <w14:ligatures w14:val="none"/>
        </w:rPr>
      </w:pPr>
      <w:hyperlink r:id="rId9" w:tgtFrame="_blank" w:history="1">
        <w:r w:rsidRPr="003908B6">
          <w:rPr>
            <w:rFonts w:ascii="Garamond" w:eastAsia="Times New Roman" w:hAnsi="Garamond" w:cs="Times New Roman"/>
            <w:color w:val="0000FF"/>
            <w:kern w:val="0"/>
            <w:u w:val="single"/>
            <w14:ligatures w14:val="none"/>
          </w:rPr>
          <w:t>http://www.counseling.ufl.edu/cwc/Default.aspx</w:t>
        </w:r>
        <w:r w:rsidRPr="003908B6">
          <w:rPr>
            <w:rFonts w:ascii="Garamond" w:eastAsia="Times New Roman" w:hAnsi="Garamond" w:cs="Times New Roman"/>
            <w:color w:val="0000FF"/>
            <w:kern w:val="0"/>
            <w:u w:val="single"/>
            <w:bdr w:val="none" w:sz="0" w:space="0" w:color="auto" w:frame="1"/>
            <w14:ligatures w14:val="none"/>
          </w:rPr>
          <w:t>Links to an external site.</w:t>
        </w:r>
      </w:hyperlink>
      <w:r w:rsidRPr="003908B6">
        <w:rPr>
          <w:rFonts w:ascii="Garamond" w:eastAsia="Times New Roman" w:hAnsi="Garamond" w:cs="Times New Roman"/>
          <w:color w:val="2D3B45"/>
          <w:kern w:val="0"/>
          <w14:ligatures w14:val="none"/>
        </w:rPr>
        <w:t>, 392-1575;</w:t>
      </w:r>
    </w:p>
    <w:p w:rsidR="003908B6" w:rsidRPr="003908B6" w:rsidRDefault="003908B6" w:rsidP="00325209">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t>The University Police Department: 392-1111 or 9-1-1 for emergencies.</w:t>
      </w:r>
      <w:r w:rsidRPr="003908B6">
        <w:rPr>
          <w:rFonts w:ascii="Garamond" w:eastAsia="Times New Roman" w:hAnsi="Garamond" w:cs="Times New Roman"/>
          <w:color w:val="2D3B45"/>
          <w:kern w:val="0"/>
          <w:sz w:val="43"/>
          <w:szCs w:val="43"/>
          <w14:ligatures w14:val="none"/>
        </w:rPr>
        <w:t> </w:t>
      </w:r>
    </w:p>
    <w:p w:rsidR="003908B6" w:rsidRPr="003908B6" w:rsidRDefault="003908B6" w:rsidP="003908B6">
      <w:pPr>
        <w:shd w:val="clear" w:color="auto" w:fill="FFFFFF"/>
        <w:spacing w:before="90" w:after="90" w:line="240" w:lineRule="auto"/>
        <w:outlineLvl w:val="1"/>
        <w:rPr>
          <w:rFonts w:ascii="Garamond" w:eastAsia="Times New Roman" w:hAnsi="Garamond" w:cs="Times New Roman"/>
          <w:color w:val="2D3B45"/>
          <w:kern w:val="0"/>
          <w:sz w:val="43"/>
          <w:szCs w:val="43"/>
          <w14:ligatures w14:val="none"/>
        </w:rPr>
      </w:pPr>
      <w:r w:rsidRPr="003908B6">
        <w:rPr>
          <w:rFonts w:ascii="Garamond" w:eastAsia="Times New Roman" w:hAnsi="Garamond" w:cs="Times New Roman"/>
          <w:color w:val="2D3B45"/>
          <w:kern w:val="0"/>
          <w:sz w:val="43"/>
          <w:szCs w:val="43"/>
          <w14:ligatures w14:val="none"/>
        </w:rPr>
        <w:t>Writing studio</w:t>
      </w:r>
    </w:p>
    <w:p w:rsidR="00325209" w:rsidRPr="00325209" w:rsidRDefault="003908B6" w:rsidP="00325209">
      <w:pPr>
        <w:shd w:val="clear" w:color="auto" w:fill="FFFFFF"/>
        <w:spacing w:before="180" w:after="180" w:line="240" w:lineRule="auto"/>
        <w:rPr>
          <w:rFonts w:ascii="Garamond" w:eastAsia="Times New Roman" w:hAnsi="Garamond" w:cs="Times New Roman"/>
          <w:color w:val="2D3B45"/>
          <w:kern w:val="0"/>
          <w14:ligatures w14:val="none"/>
        </w:rPr>
      </w:pPr>
      <w:r w:rsidRPr="003908B6">
        <w:rPr>
          <w:rFonts w:ascii="Garamond" w:eastAsia="Times New Roman" w:hAnsi="Garamond" w:cs="Times New Roman"/>
          <w:color w:val="2D3B45"/>
          <w:kern w:val="0"/>
          <w14:ligatures w14:val="none"/>
        </w:rPr>
        <w:lastRenderedPageBreak/>
        <w:t>The writing studio is committed to helping University of Florida students meet their academic and professional goals by becoming better writers. Visit the writing studio online at http://writing.ufl.edu/writing-studio/ or in 302 Tigert Hall for one-on-one consultations and workshop</w:t>
      </w:r>
      <w:r w:rsidR="00325209">
        <w:rPr>
          <w:rFonts w:ascii="Garamond" w:eastAsia="Times New Roman" w:hAnsi="Garamond" w:cs="Times New Roman"/>
          <w:color w:val="2D3B45"/>
          <w:kern w:val="0"/>
          <w14:ligatures w14:val="none"/>
        </w:rPr>
        <w:t>.</w:t>
      </w:r>
      <w:r w:rsidR="00325209" w:rsidRPr="00325209">
        <w:rPr>
          <w:rFonts w:ascii="Garamond" w:hAnsi="Garamond"/>
        </w:rPr>
        <w:br w:type="page"/>
      </w:r>
    </w:p>
    <w:p w:rsidR="00325209" w:rsidRPr="00CC0F57" w:rsidRDefault="00325209" w:rsidP="00325209">
      <w:pPr>
        <w:rPr>
          <w:rFonts w:ascii="Garamond" w:hAnsi="Garamond"/>
          <w:bCs/>
          <w:sz w:val="43"/>
          <w:szCs w:val="43"/>
        </w:rPr>
      </w:pPr>
      <w:r w:rsidRPr="00CC0F57">
        <w:rPr>
          <w:rFonts w:ascii="Garamond" w:hAnsi="Garamond"/>
          <w:bCs/>
          <w:sz w:val="43"/>
          <w:szCs w:val="43"/>
        </w:rPr>
        <w:lastRenderedPageBreak/>
        <w:t>CLASS AND READING SCHEDULE</w:t>
      </w:r>
    </w:p>
    <w:p w:rsidR="00325209" w:rsidRDefault="00325209" w:rsidP="00325209">
      <w:pPr>
        <w:rPr>
          <w:rFonts w:ascii="Garamond" w:hAnsi="Garamond" w:cs="Calibri"/>
          <w:b/>
          <w:bCs/>
        </w:rPr>
      </w:pPr>
      <w:r w:rsidRPr="007B338A">
        <w:rPr>
          <w:rFonts w:ascii="Garamond" w:hAnsi="Garamond"/>
          <w:bCs/>
          <w:i/>
          <w:iCs/>
        </w:rPr>
        <w:t>This schedule is subject to revision- please read all class announcements in Canvas.</w:t>
      </w:r>
    </w:p>
    <w:p w:rsidR="00325209" w:rsidRPr="00325209" w:rsidRDefault="00325209" w:rsidP="00325209">
      <w:pPr>
        <w:rPr>
          <w:rFonts w:ascii="Garamond" w:hAnsi="Garamond" w:cs="Calibri"/>
          <w:b/>
          <w:bCs/>
        </w:rPr>
      </w:pPr>
      <w:r w:rsidRPr="00325209">
        <w:rPr>
          <w:rFonts w:ascii="Garamond" w:hAnsi="Garamond" w:cs="Calibri"/>
          <w:b/>
          <w:bCs/>
        </w:rPr>
        <w:t>W</w:t>
      </w:r>
      <w:r w:rsidRPr="00325209">
        <w:rPr>
          <w:rFonts w:ascii="Garamond" w:hAnsi="Garamond" w:cs="Calibri"/>
          <w:b/>
          <w:bCs/>
        </w:rPr>
        <w:t xml:space="preserve">eek 1 </w:t>
      </w:r>
    </w:p>
    <w:p w:rsidR="00325209" w:rsidRPr="00325209" w:rsidRDefault="00325209" w:rsidP="00325209">
      <w:pPr>
        <w:rPr>
          <w:rFonts w:ascii="Garamond" w:hAnsi="Garamond"/>
        </w:rPr>
      </w:pPr>
      <w:r w:rsidRPr="00325209">
        <w:rPr>
          <w:rFonts w:ascii="Garamond" w:hAnsi="Garamond"/>
        </w:rPr>
        <w:t>Jan 14</w:t>
      </w:r>
      <w:r w:rsidRPr="00325209">
        <w:rPr>
          <w:rFonts w:ascii="Garamond" w:hAnsi="Garamond"/>
          <w:vertAlign w:val="superscript"/>
        </w:rPr>
        <w:t>th</w:t>
      </w:r>
      <w:r w:rsidRPr="00325209">
        <w:rPr>
          <w:rFonts w:ascii="Garamond" w:hAnsi="Garamond"/>
        </w:rPr>
        <w:t>, 16</w:t>
      </w:r>
      <w:r w:rsidRPr="00325209">
        <w:rPr>
          <w:rFonts w:ascii="Garamond" w:hAnsi="Garamond"/>
          <w:vertAlign w:val="superscript"/>
        </w:rPr>
        <w:t>th</w:t>
      </w:r>
    </w:p>
    <w:p w:rsidR="00325209" w:rsidRPr="00325209" w:rsidRDefault="00325209" w:rsidP="00325209">
      <w:pPr>
        <w:pStyle w:val="ListParagraph"/>
        <w:numPr>
          <w:ilvl w:val="0"/>
          <w:numId w:val="10"/>
        </w:numPr>
        <w:spacing w:after="200" w:line="276" w:lineRule="auto"/>
        <w:rPr>
          <w:rFonts w:ascii="Garamond" w:hAnsi="Garamond" w:cs="Calibri"/>
        </w:rPr>
      </w:pPr>
      <w:r w:rsidRPr="00325209">
        <w:rPr>
          <w:rFonts w:ascii="Garamond" w:hAnsi="Garamond"/>
        </w:rPr>
        <w:t>Syllabus</w:t>
      </w:r>
      <w:r w:rsidRPr="00325209">
        <w:rPr>
          <w:rFonts w:ascii="Garamond" w:hAnsi="Garamond" w:cs="Calibri"/>
        </w:rPr>
        <w:t xml:space="preserve"> </w:t>
      </w:r>
    </w:p>
    <w:p w:rsidR="00325209" w:rsidRPr="00325209" w:rsidRDefault="00325209" w:rsidP="00325209">
      <w:pPr>
        <w:pStyle w:val="ListParagraph"/>
        <w:numPr>
          <w:ilvl w:val="0"/>
          <w:numId w:val="10"/>
        </w:numPr>
        <w:spacing w:after="0" w:line="240" w:lineRule="auto"/>
        <w:rPr>
          <w:rFonts w:ascii="Garamond" w:hAnsi="Garamond"/>
          <w:bCs/>
        </w:rPr>
      </w:pPr>
      <w:r w:rsidRPr="00325209">
        <w:rPr>
          <w:rFonts w:ascii="Garamond" w:hAnsi="Garamond"/>
          <w:bCs/>
        </w:rPr>
        <w:t>Roger Crisp- “Well-Being” (sections 1, 2, and 3 of entry in Stanford Encyclopedia of Philosophy)</w:t>
      </w:r>
    </w:p>
    <w:p w:rsidR="00325209" w:rsidRPr="00325209" w:rsidRDefault="00325209" w:rsidP="00325209">
      <w:pPr>
        <w:pStyle w:val="ListParagraph"/>
        <w:numPr>
          <w:ilvl w:val="0"/>
          <w:numId w:val="10"/>
        </w:numPr>
        <w:spacing w:after="0" w:line="240" w:lineRule="auto"/>
        <w:rPr>
          <w:rFonts w:ascii="Garamond" w:hAnsi="Garamond"/>
          <w:bCs/>
        </w:rPr>
      </w:pPr>
      <w:r w:rsidRPr="00325209">
        <w:rPr>
          <w:rFonts w:ascii="Garamond" w:hAnsi="Garamond"/>
          <w:bCs/>
        </w:rPr>
        <w:t>Stephen M. Campbell- “The Concept of Well-Being”</w:t>
      </w:r>
    </w:p>
    <w:p w:rsidR="00325209" w:rsidRPr="00325209" w:rsidRDefault="00325209" w:rsidP="00325209">
      <w:pPr>
        <w:pStyle w:val="ListParagraph"/>
        <w:spacing w:after="200" w:line="276" w:lineRule="auto"/>
        <w:rPr>
          <w:rFonts w:ascii="Garamond" w:hAnsi="Garamond" w:cs="Calibri"/>
        </w:rPr>
      </w:pPr>
    </w:p>
    <w:p w:rsidR="00325209" w:rsidRPr="00325209" w:rsidRDefault="00325209" w:rsidP="00325209">
      <w:pPr>
        <w:rPr>
          <w:rFonts w:ascii="Garamond" w:hAnsi="Garamond" w:cs="Calibri"/>
        </w:rPr>
      </w:pPr>
      <w:r w:rsidRPr="00325209">
        <w:rPr>
          <w:rFonts w:ascii="Garamond" w:hAnsi="Garamond" w:cs="Calibri"/>
          <w:b/>
          <w:bCs/>
        </w:rPr>
        <w:t>Week 2</w:t>
      </w:r>
      <w:r w:rsidRPr="00325209">
        <w:rPr>
          <w:rFonts w:ascii="Garamond" w:hAnsi="Garamond" w:cs="Calibri"/>
        </w:rPr>
        <w:t xml:space="preserve"> </w:t>
      </w:r>
    </w:p>
    <w:p w:rsidR="00325209" w:rsidRPr="00325209" w:rsidRDefault="00325209" w:rsidP="00325209">
      <w:pPr>
        <w:rPr>
          <w:rFonts w:ascii="Garamond" w:hAnsi="Garamond"/>
        </w:rPr>
      </w:pPr>
      <w:r w:rsidRPr="00325209">
        <w:rPr>
          <w:rFonts w:ascii="Garamond" w:hAnsi="Garamond"/>
        </w:rPr>
        <w:t>Jan 21</w:t>
      </w:r>
      <w:r w:rsidRPr="00325209">
        <w:rPr>
          <w:rFonts w:ascii="Garamond" w:hAnsi="Garamond"/>
          <w:vertAlign w:val="superscript"/>
        </w:rPr>
        <w:t>st</w:t>
      </w:r>
      <w:r w:rsidRPr="00325209">
        <w:rPr>
          <w:rFonts w:ascii="Garamond" w:hAnsi="Garamond"/>
        </w:rPr>
        <w:t>, 23</w:t>
      </w:r>
      <w:r w:rsidRPr="00325209">
        <w:rPr>
          <w:rFonts w:ascii="Garamond" w:hAnsi="Garamond"/>
          <w:vertAlign w:val="superscript"/>
        </w:rPr>
        <w:t>rd</w:t>
      </w:r>
    </w:p>
    <w:p w:rsidR="00325209" w:rsidRPr="00325209" w:rsidRDefault="00325209" w:rsidP="00325209">
      <w:pPr>
        <w:pStyle w:val="ListParagraph"/>
        <w:numPr>
          <w:ilvl w:val="0"/>
          <w:numId w:val="10"/>
        </w:numPr>
        <w:spacing w:after="0" w:line="240" w:lineRule="auto"/>
        <w:rPr>
          <w:rFonts w:ascii="Garamond" w:hAnsi="Garamond"/>
          <w:bCs/>
        </w:rPr>
      </w:pPr>
      <w:r w:rsidRPr="00325209">
        <w:rPr>
          <w:rFonts w:ascii="Garamond" w:hAnsi="Garamond"/>
          <w:bCs/>
        </w:rPr>
        <w:t>Russ Shafer-Landau- “Hedonism” (Ch 1 from “The Fundamentals of Ethics”)</w:t>
      </w:r>
    </w:p>
    <w:p w:rsidR="00325209" w:rsidRPr="00325209" w:rsidRDefault="00325209" w:rsidP="00325209">
      <w:pPr>
        <w:pStyle w:val="ListParagraph"/>
        <w:numPr>
          <w:ilvl w:val="0"/>
          <w:numId w:val="10"/>
        </w:numPr>
        <w:spacing w:after="0" w:line="240" w:lineRule="auto"/>
        <w:rPr>
          <w:rFonts w:ascii="Garamond" w:hAnsi="Garamond"/>
          <w:bCs/>
        </w:rPr>
      </w:pPr>
      <w:r w:rsidRPr="00325209">
        <w:rPr>
          <w:rFonts w:ascii="Garamond" w:hAnsi="Garamond"/>
          <w:bCs/>
        </w:rPr>
        <w:t>John Stewart Mill- “Hedonism” (excerpts)</w:t>
      </w:r>
    </w:p>
    <w:p w:rsidR="00325209" w:rsidRPr="00325209" w:rsidRDefault="00325209" w:rsidP="00325209">
      <w:pPr>
        <w:pStyle w:val="ListParagraph"/>
        <w:spacing w:after="200" w:line="276" w:lineRule="auto"/>
        <w:rPr>
          <w:rFonts w:ascii="Garamond" w:hAnsi="Garamond" w:cs="Calibri"/>
        </w:rPr>
      </w:pPr>
    </w:p>
    <w:p w:rsidR="00325209" w:rsidRPr="00325209" w:rsidRDefault="00325209" w:rsidP="00325209">
      <w:pPr>
        <w:rPr>
          <w:rFonts w:ascii="Garamond" w:hAnsi="Garamond" w:cs="Calibri"/>
        </w:rPr>
      </w:pPr>
      <w:r w:rsidRPr="00325209">
        <w:rPr>
          <w:rFonts w:ascii="Garamond" w:hAnsi="Garamond" w:cs="Calibri"/>
          <w:b/>
          <w:bCs/>
        </w:rPr>
        <w:t>Week 3</w:t>
      </w:r>
      <w:r w:rsidRPr="00325209">
        <w:rPr>
          <w:rFonts w:ascii="Garamond" w:hAnsi="Garamond" w:cs="Calibri"/>
        </w:rPr>
        <w:t xml:space="preserve"> </w:t>
      </w:r>
    </w:p>
    <w:p w:rsidR="00325209" w:rsidRPr="00325209" w:rsidRDefault="00325209" w:rsidP="00325209">
      <w:pPr>
        <w:rPr>
          <w:rFonts w:ascii="Garamond" w:hAnsi="Garamond"/>
        </w:rPr>
      </w:pPr>
      <w:r w:rsidRPr="00325209">
        <w:rPr>
          <w:rFonts w:ascii="Garamond" w:hAnsi="Garamond"/>
        </w:rPr>
        <w:t>Jan 28</w:t>
      </w:r>
      <w:r w:rsidRPr="00325209">
        <w:rPr>
          <w:rFonts w:ascii="Garamond" w:hAnsi="Garamond"/>
          <w:vertAlign w:val="superscript"/>
        </w:rPr>
        <w:t>th</w:t>
      </w:r>
      <w:r w:rsidRPr="00325209">
        <w:rPr>
          <w:rFonts w:ascii="Garamond" w:hAnsi="Garamond"/>
        </w:rPr>
        <w:t>, 30</w:t>
      </w:r>
      <w:r w:rsidRPr="00325209">
        <w:rPr>
          <w:rFonts w:ascii="Garamond" w:hAnsi="Garamond"/>
          <w:vertAlign w:val="superscript"/>
        </w:rPr>
        <w:t>th</w:t>
      </w:r>
    </w:p>
    <w:p w:rsidR="00325209" w:rsidRPr="00325209" w:rsidRDefault="00325209" w:rsidP="00325209">
      <w:pPr>
        <w:pStyle w:val="ListParagraph"/>
        <w:numPr>
          <w:ilvl w:val="0"/>
          <w:numId w:val="10"/>
        </w:numPr>
        <w:spacing w:after="0" w:line="240" w:lineRule="auto"/>
        <w:rPr>
          <w:rFonts w:ascii="Garamond" w:hAnsi="Garamond"/>
          <w:b/>
          <w:u w:val="single"/>
        </w:rPr>
      </w:pPr>
      <w:r w:rsidRPr="00325209">
        <w:rPr>
          <w:rFonts w:ascii="Garamond" w:hAnsi="Garamond"/>
          <w:bCs/>
        </w:rPr>
        <w:t>Robert Nozick- “The Experience Machine”</w:t>
      </w:r>
    </w:p>
    <w:p w:rsidR="00325209" w:rsidRPr="00325209" w:rsidRDefault="00325209" w:rsidP="00325209">
      <w:pPr>
        <w:pStyle w:val="ListParagraph"/>
        <w:numPr>
          <w:ilvl w:val="0"/>
          <w:numId w:val="10"/>
        </w:numPr>
        <w:spacing w:after="0" w:line="240" w:lineRule="auto"/>
        <w:rPr>
          <w:rFonts w:ascii="Garamond" w:hAnsi="Garamond"/>
          <w:b/>
          <w:u w:val="single"/>
        </w:rPr>
      </w:pPr>
      <w:r w:rsidRPr="00325209">
        <w:rPr>
          <w:rFonts w:ascii="Garamond" w:hAnsi="Garamond"/>
          <w:bCs/>
        </w:rPr>
        <w:t>Russ Shafer-Landau- “Getting What You Want” (Ch 3 from “The Fundamentals of Ethics)</w:t>
      </w:r>
    </w:p>
    <w:p w:rsidR="00325209" w:rsidRPr="00325209" w:rsidRDefault="00325209" w:rsidP="00325209">
      <w:pPr>
        <w:spacing w:after="200" w:line="276" w:lineRule="auto"/>
        <w:ind w:left="360"/>
        <w:rPr>
          <w:rFonts w:ascii="Garamond" w:hAnsi="Garamond" w:cs="Calibri"/>
        </w:rPr>
      </w:pPr>
    </w:p>
    <w:p w:rsidR="00325209" w:rsidRPr="00325209" w:rsidRDefault="00325209" w:rsidP="00325209">
      <w:pPr>
        <w:rPr>
          <w:rFonts w:ascii="Garamond" w:hAnsi="Garamond" w:cs="Calibri"/>
          <w:b/>
          <w:bCs/>
        </w:rPr>
      </w:pPr>
    </w:p>
    <w:p w:rsidR="00325209" w:rsidRPr="00325209" w:rsidRDefault="00325209" w:rsidP="00325209">
      <w:pPr>
        <w:rPr>
          <w:rFonts w:ascii="Garamond" w:hAnsi="Garamond" w:cs="Calibri"/>
          <w:b/>
          <w:bCs/>
        </w:rPr>
      </w:pPr>
      <w:r w:rsidRPr="00325209">
        <w:rPr>
          <w:rFonts w:ascii="Garamond" w:hAnsi="Garamond" w:cs="Calibri"/>
          <w:b/>
          <w:bCs/>
        </w:rPr>
        <w:t>Week 4</w:t>
      </w:r>
    </w:p>
    <w:p w:rsidR="00325209" w:rsidRPr="00325209" w:rsidRDefault="00325209" w:rsidP="00325209">
      <w:pPr>
        <w:rPr>
          <w:rFonts w:ascii="Garamond" w:hAnsi="Garamond" w:cs="Calibri"/>
        </w:rPr>
      </w:pPr>
      <w:r w:rsidRPr="00325209">
        <w:rPr>
          <w:rFonts w:ascii="Garamond" w:hAnsi="Garamond" w:cs="Calibri"/>
        </w:rPr>
        <w:t>Feb 4</w:t>
      </w:r>
      <w:r w:rsidRPr="00325209">
        <w:rPr>
          <w:rFonts w:ascii="Garamond" w:hAnsi="Garamond" w:cs="Calibri"/>
          <w:vertAlign w:val="superscript"/>
        </w:rPr>
        <w:t>th</w:t>
      </w:r>
      <w:r w:rsidRPr="00325209">
        <w:rPr>
          <w:rFonts w:ascii="Garamond" w:hAnsi="Garamond" w:cs="Calibri"/>
        </w:rPr>
        <w:t>, 6</w:t>
      </w:r>
      <w:r w:rsidRPr="00325209">
        <w:rPr>
          <w:rFonts w:ascii="Garamond" w:hAnsi="Garamond" w:cs="Calibri"/>
          <w:vertAlign w:val="superscript"/>
        </w:rPr>
        <w:t>th</w:t>
      </w:r>
    </w:p>
    <w:p w:rsidR="00325209" w:rsidRPr="00325209" w:rsidRDefault="00325209" w:rsidP="00325209">
      <w:pPr>
        <w:pStyle w:val="ListParagraph"/>
        <w:numPr>
          <w:ilvl w:val="0"/>
          <w:numId w:val="17"/>
        </w:numPr>
        <w:spacing w:after="0" w:line="240" w:lineRule="auto"/>
        <w:rPr>
          <w:rFonts w:ascii="Garamond" w:hAnsi="Garamond"/>
          <w:bCs/>
        </w:rPr>
      </w:pPr>
      <w:r w:rsidRPr="00325209">
        <w:rPr>
          <w:rFonts w:ascii="Garamond" w:hAnsi="Garamond"/>
          <w:bCs/>
        </w:rPr>
        <w:t>Chris Heathwood- “The Problem of Defective Desires”</w:t>
      </w:r>
    </w:p>
    <w:p w:rsidR="00325209" w:rsidRPr="00325209" w:rsidRDefault="00325209" w:rsidP="00325209">
      <w:pPr>
        <w:pStyle w:val="ListParagraph"/>
        <w:numPr>
          <w:ilvl w:val="0"/>
          <w:numId w:val="17"/>
        </w:numPr>
        <w:spacing w:after="0" w:line="240" w:lineRule="auto"/>
        <w:rPr>
          <w:rFonts w:ascii="Garamond" w:hAnsi="Garamond"/>
          <w:bCs/>
        </w:rPr>
      </w:pPr>
      <w:r w:rsidRPr="00325209">
        <w:rPr>
          <w:rFonts w:ascii="Garamond" w:hAnsi="Garamond"/>
          <w:bCs/>
        </w:rPr>
        <w:t>Dale Dorsey- “Preferences, Welfare, and the Status-quo Bias”</w:t>
      </w:r>
    </w:p>
    <w:p w:rsidR="00CC0F57" w:rsidRDefault="00CC0F57" w:rsidP="00CC0F57">
      <w:pPr>
        <w:pStyle w:val="ListParagraph"/>
        <w:rPr>
          <w:rFonts w:ascii="Garamond" w:hAnsi="Garamond" w:cs="Calibri"/>
          <w:b/>
          <w:bCs/>
          <w:i/>
          <w:iCs/>
        </w:rPr>
      </w:pPr>
    </w:p>
    <w:p w:rsidR="00CC0F57" w:rsidRDefault="00CC0F57" w:rsidP="00CC0F57">
      <w:pPr>
        <w:pStyle w:val="ListParagraph"/>
        <w:jc w:val="center"/>
        <w:rPr>
          <w:rFonts w:ascii="Garamond" w:hAnsi="Garamond" w:cs="Calibri"/>
          <w:b/>
          <w:bCs/>
          <w:i/>
          <w:iCs/>
        </w:rPr>
      </w:pPr>
    </w:p>
    <w:p w:rsidR="00325209" w:rsidRPr="00CC0F57" w:rsidRDefault="00CC0F57" w:rsidP="00CC0F57">
      <w:pPr>
        <w:pStyle w:val="ListParagraph"/>
        <w:jc w:val="center"/>
        <w:rPr>
          <w:rFonts w:ascii="Garamond" w:hAnsi="Garamond" w:cs="Calibri"/>
          <w:b/>
          <w:bCs/>
          <w:i/>
          <w:iCs/>
        </w:rPr>
      </w:pPr>
      <w:r w:rsidRPr="00325209">
        <w:rPr>
          <w:rFonts w:ascii="Garamond" w:hAnsi="Garamond" w:cs="Calibri"/>
          <w:b/>
          <w:bCs/>
          <w:i/>
          <w:iCs/>
        </w:rPr>
        <w:t>Paper 1 Due Feb.</w:t>
      </w:r>
      <w:r>
        <w:rPr>
          <w:rFonts w:ascii="Garamond" w:hAnsi="Garamond" w:cs="Calibri"/>
          <w:b/>
          <w:bCs/>
          <w:i/>
          <w:iCs/>
        </w:rPr>
        <w:t xml:space="preserve"> </w:t>
      </w:r>
      <w:r w:rsidRPr="00325209">
        <w:rPr>
          <w:rFonts w:ascii="Garamond" w:hAnsi="Garamond" w:cs="Calibri"/>
          <w:b/>
          <w:bCs/>
          <w:i/>
          <w:iCs/>
        </w:rPr>
        <w:t>1</w:t>
      </w:r>
      <w:r>
        <w:rPr>
          <w:rFonts w:ascii="Garamond" w:hAnsi="Garamond" w:cs="Calibri"/>
          <w:b/>
          <w:bCs/>
          <w:i/>
          <w:iCs/>
        </w:rPr>
        <w:t>1</w:t>
      </w:r>
      <w:r w:rsidRPr="00325209">
        <w:rPr>
          <w:rFonts w:ascii="Garamond" w:hAnsi="Garamond" w:cs="Calibri"/>
          <w:b/>
          <w:bCs/>
          <w:i/>
          <w:iCs/>
          <w:vertAlign w:val="superscript"/>
        </w:rPr>
        <w:t>th</w:t>
      </w:r>
    </w:p>
    <w:p w:rsidR="00325209" w:rsidRPr="00325209" w:rsidRDefault="00325209" w:rsidP="00325209">
      <w:pPr>
        <w:rPr>
          <w:rFonts w:ascii="Garamond" w:hAnsi="Garamond" w:cs="Calibri"/>
        </w:rPr>
      </w:pPr>
    </w:p>
    <w:p w:rsidR="00325209" w:rsidRPr="00325209" w:rsidRDefault="00325209" w:rsidP="00325209">
      <w:pPr>
        <w:rPr>
          <w:rFonts w:ascii="Garamond" w:hAnsi="Garamond" w:cs="Calibri"/>
          <w:b/>
          <w:bCs/>
        </w:rPr>
      </w:pPr>
      <w:r w:rsidRPr="00325209">
        <w:rPr>
          <w:rFonts w:ascii="Garamond" w:hAnsi="Garamond" w:cs="Calibri"/>
          <w:b/>
          <w:bCs/>
        </w:rPr>
        <w:t>Week 5</w:t>
      </w:r>
    </w:p>
    <w:p w:rsidR="00325209" w:rsidRPr="00325209" w:rsidRDefault="00325209" w:rsidP="00325209">
      <w:pPr>
        <w:rPr>
          <w:rFonts w:ascii="Garamond" w:hAnsi="Garamond"/>
        </w:rPr>
      </w:pPr>
      <w:r w:rsidRPr="00325209">
        <w:rPr>
          <w:rFonts w:ascii="Garamond" w:hAnsi="Garamond"/>
        </w:rPr>
        <w:t>Feb 11</w:t>
      </w:r>
      <w:r w:rsidRPr="00325209">
        <w:rPr>
          <w:rFonts w:ascii="Garamond" w:hAnsi="Garamond"/>
          <w:vertAlign w:val="superscript"/>
        </w:rPr>
        <w:t>th</w:t>
      </w:r>
      <w:r w:rsidRPr="00325209">
        <w:rPr>
          <w:rFonts w:ascii="Garamond" w:hAnsi="Garamond"/>
        </w:rPr>
        <w:t>, 13</w:t>
      </w:r>
      <w:r w:rsidRPr="00325209">
        <w:rPr>
          <w:rFonts w:ascii="Garamond" w:hAnsi="Garamond"/>
          <w:vertAlign w:val="superscript"/>
        </w:rPr>
        <w:t>th</w:t>
      </w:r>
    </w:p>
    <w:p w:rsidR="00325209" w:rsidRPr="00325209" w:rsidRDefault="00325209" w:rsidP="00325209">
      <w:pPr>
        <w:pStyle w:val="ListParagraph"/>
        <w:numPr>
          <w:ilvl w:val="0"/>
          <w:numId w:val="11"/>
        </w:numPr>
        <w:spacing w:after="0" w:line="240" w:lineRule="auto"/>
        <w:rPr>
          <w:rFonts w:ascii="Garamond" w:hAnsi="Garamond"/>
          <w:bCs/>
        </w:rPr>
      </w:pPr>
      <w:r w:rsidRPr="00325209">
        <w:rPr>
          <w:rFonts w:ascii="Garamond" w:hAnsi="Garamond"/>
          <w:bCs/>
        </w:rPr>
        <w:t>Daniel M. Hausman and Michael S. McPherson- “Preference Satisfaction and Welfare Economics”</w:t>
      </w:r>
    </w:p>
    <w:p w:rsidR="00325209" w:rsidRPr="00325209" w:rsidRDefault="00325209" w:rsidP="00325209">
      <w:pPr>
        <w:numPr>
          <w:ilvl w:val="0"/>
          <w:numId w:val="11"/>
        </w:numPr>
        <w:shd w:val="clear" w:color="auto" w:fill="FFFFFF"/>
        <w:spacing w:before="100" w:beforeAutospacing="1" w:after="100" w:afterAutospacing="1" w:line="240" w:lineRule="auto"/>
        <w:rPr>
          <w:rFonts w:ascii="Garamond" w:hAnsi="Garamond"/>
          <w:color w:val="2D3B45"/>
        </w:rPr>
      </w:pPr>
      <w:r w:rsidRPr="00325209">
        <w:rPr>
          <w:rFonts w:ascii="Garamond" w:hAnsi="Garamond"/>
          <w:color w:val="2D3B45"/>
        </w:rPr>
        <w:lastRenderedPageBreak/>
        <w:t>Guy Fletcher- “Objective List Theories”, Ch. 12 in </w:t>
      </w:r>
      <w:r w:rsidRPr="00325209">
        <w:rPr>
          <w:rStyle w:val="Emphasis"/>
          <w:rFonts w:ascii="Garamond" w:hAnsi="Garamond"/>
          <w:color w:val="2D3B45"/>
        </w:rPr>
        <w:t>The Routledge Handbook of the Philosophy of Well-Being</w:t>
      </w:r>
    </w:p>
    <w:p w:rsidR="00325209" w:rsidRPr="00325209" w:rsidRDefault="00325209" w:rsidP="00325209">
      <w:pPr>
        <w:pStyle w:val="ListParagraph"/>
        <w:numPr>
          <w:ilvl w:val="0"/>
          <w:numId w:val="11"/>
        </w:numPr>
        <w:spacing w:after="0" w:line="240" w:lineRule="auto"/>
        <w:rPr>
          <w:rFonts w:ascii="Garamond" w:hAnsi="Garamond"/>
          <w:b/>
          <w:u w:val="single"/>
        </w:rPr>
      </w:pPr>
      <w:r w:rsidRPr="00325209">
        <w:rPr>
          <w:rFonts w:ascii="Garamond" w:hAnsi="Garamond"/>
          <w:bCs/>
        </w:rPr>
        <w:t>Brad Hooker- “The Elements of Well-Being”</w:t>
      </w:r>
    </w:p>
    <w:p w:rsidR="00325209" w:rsidRPr="00325209" w:rsidRDefault="00325209" w:rsidP="00325209">
      <w:pPr>
        <w:rPr>
          <w:rFonts w:ascii="Garamond" w:hAnsi="Garamond"/>
        </w:rPr>
      </w:pPr>
    </w:p>
    <w:p w:rsidR="00325209" w:rsidRPr="00325209" w:rsidRDefault="00325209" w:rsidP="00325209">
      <w:pPr>
        <w:rPr>
          <w:rFonts w:ascii="Garamond" w:hAnsi="Garamond" w:cs="Calibri"/>
          <w:b/>
          <w:bCs/>
        </w:rPr>
      </w:pPr>
      <w:r w:rsidRPr="00325209">
        <w:rPr>
          <w:rFonts w:ascii="Garamond" w:hAnsi="Garamond" w:cs="Calibri"/>
          <w:b/>
          <w:bCs/>
        </w:rPr>
        <w:t>Week 6</w:t>
      </w:r>
    </w:p>
    <w:p w:rsidR="00325209" w:rsidRPr="00325209" w:rsidRDefault="00325209" w:rsidP="00325209">
      <w:pPr>
        <w:rPr>
          <w:rFonts w:ascii="Garamond" w:hAnsi="Garamond"/>
        </w:rPr>
      </w:pPr>
      <w:r w:rsidRPr="00325209">
        <w:rPr>
          <w:rFonts w:ascii="Garamond" w:hAnsi="Garamond"/>
        </w:rPr>
        <w:t>Feb 18</w:t>
      </w:r>
      <w:r w:rsidRPr="00325209">
        <w:rPr>
          <w:rFonts w:ascii="Garamond" w:hAnsi="Garamond"/>
          <w:vertAlign w:val="superscript"/>
        </w:rPr>
        <w:t>th</w:t>
      </w:r>
      <w:r w:rsidRPr="00325209">
        <w:rPr>
          <w:rFonts w:ascii="Garamond" w:hAnsi="Garamond"/>
        </w:rPr>
        <w:t>, 20</w:t>
      </w:r>
      <w:r w:rsidRPr="00325209">
        <w:rPr>
          <w:rFonts w:ascii="Garamond" w:hAnsi="Garamond"/>
          <w:vertAlign w:val="superscript"/>
        </w:rPr>
        <w:t>th</w:t>
      </w:r>
    </w:p>
    <w:p w:rsidR="00325209" w:rsidRPr="00325209" w:rsidRDefault="00325209" w:rsidP="00325209">
      <w:pPr>
        <w:pStyle w:val="ListParagraph"/>
        <w:numPr>
          <w:ilvl w:val="0"/>
          <w:numId w:val="11"/>
        </w:numPr>
        <w:spacing w:after="0" w:line="240" w:lineRule="auto"/>
        <w:rPr>
          <w:rFonts w:ascii="Garamond" w:hAnsi="Garamond"/>
          <w:b/>
          <w:u w:val="single"/>
        </w:rPr>
      </w:pPr>
      <w:r w:rsidRPr="00325209">
        <w:rPr>
          <w:rFonts w:ascii="Garamond" w:hAnsi="Garamond"/>
          <w:bCs/>
        </w:rPr>
        <w:t>Hurka- “Perfectionism” (excerpts)</w:t>
      </w:r>
    </w:p>
    <w:p w:rsidR="00325209" w:rsidRPr="00325209" w:rsidRDefault="00325209" w:rsidP="00325209">
      <w:pPr>
        <w:pStyle w:val="ListParagraph"/>
        <w:numPr>
          <w:ilvl w:val="0"/>
          <w:numId w:val="11"/>
        </w:numPr>
        <w:spacing w:after="0" w:line="240" w:lineRule="auto"/>
        <w:jc w:val="both"/>
        <w:rPr>
          <w:rFonts w:ascii="Garamond" w:hAnsi="Garamond"/>
          <w:b/>
        </w:rPr>
      </w:pPr>
      <w:r w:rsidRPr="00325209">
        <w:rPr>
          <w:rFonts w:ascii="Garamond" w:hAnsi="Garamond"/>
          <w:bCs/>
        </w:rPr>
        <w:t>Susan Wolf- “Happiness and Meaning: Two Aspects of the Good Life.”</w:t>
      </w:r>
    </w:p>
    <w:p w:rsidR="00325209" w:rsidRPr="00325209" w:rsidRDefault="00325209" w:rsidP="00325209">
      <w:pPr>
        <w:rPr>
          <w:rFonts w:ascii="Garamond" w:hAnsi="Garamond" w:cs="Calibri"/>
          <w:b/>
          <w:bCs/>
        </w:rPr>
      </w:pPr>
    </w:p>
    <w:p w:rsidR="00325209" w:rsidRPr="00325209" w:rsidRDefault="00325209" w:rsidP="00325209">
      <w:pPr>
        <w:rPr>
          <w:rFonts w:ascii="Garamond" w:hAnsi="Garamond" w:cs="Calibri"/>
          <w:b/>
          <w:bCs/>
        </w:rPr>
      </w:pPr>
      <w:r w:rsidRPr="00325209">
        <w:rPr>
          <w:rFonts w:ascii="Garamond" w:hAnsi="Garamond" w:cs="Calibri"/>
          <w:b/>
          <w:bCs/>
        </w:rPr>
        <w:t>Week 7</w:t>
      </w:r>
    </w:p>
    <w:p w:rsidR="00325209" w:rsidRPr="00325209" w:rsidRDefault="00325209" w:rsidP="00325209">
      <w:pPr>
        <w:rPr>
          <w:rFonts w:ascii="Garamond" w:hAnsi="Garamond"/>
          <w:vertAlign w:val="superscript"/>
        </w:rPr>
      </w:pPr>
      <w:r w:rsidRPr="00325209">
        <w:rPr>
          <w:rFonts w:ascii="Garamond" w:hAnsi="Garamond"/>
        </w:rPr>
        <w:t>Feb 25</w:t>
      </w:r>
      <w:r w:rsidRPr="00325209">
        <w:rPr>
          <w:rFonts w:ascii="Garamond" w:hAnsi="Garamond"/>
          <w:vertAlign w:val="superscript"/>
        </w:rPr>
        <w:t>th</w:t>
      </w:r>
      <w:r w:rsidRPr="00325209">
        <w:rPr>
          <w:rFonts w:ascii="Garamond" w:hAnsi="Garamond"/>
        </w:rPr>
        <w:t>, 27</w:t>
      </w:r>
      <w:r w:rsidRPr="00325209">
        <w:rPr>
          <w:rFonts w:ascii="Garamond" w:hAnsi="Garamond"/>
          <w:vertAlign w:val="superscript"/>
        </w:rPr>
        <w:t>th</w:t>
      </w:r>
    </w:p>
    <w:p w:rsidR="00325209" w:rsidRPr="00CC0F57" w:rsidRDefault="00325209" w:rsidP="00CC0F57">
      <w:pPr>
        <w:pStyle w:val="ListParagraph"/>
        <w:numPr>
          <w:ilvl w:val="0"/>
          <w:numId w:val="12"/>
        </w:numPr>
        <w:spacing w:after="0" w:line="240" w:lineRule="auto"/>
        <w:rPr>
          <w:rFonts w:ascii="Garamond" w:hAnsi="Garamond"/>
          <w:bCs/>
        </w:rPr>
      </w:pPr>
      <w:r w:rsidRPr="00325209">
        <w:rPr>
          <w:rFonts w:ascii="Garamond" w:hAnsi="Garamond"/>
          <w:bCs/>
        </w:rPr>
        <w:t>David Velleman- “Well Being and Time”</w:t>
      </w:r>
    </w:p>
    <w:p w:rsidR="00325209" w:rsidRPr="00325209" w:rsidRDefault="00325209" w:rsidP="00325209">
      <w:pPr>
        <w:rPr>
          <w:rFonts w:ascii="Garamond" w:hAnsi="Garamond"/>
          <w:b/>
          <w:bCs/>
        </w:rPr>
      </w:pPr>
    </w:p>
    <w:p w:rsidR="00325209" w:rsidRPr="00325209" w:rsidRDefault="00325209" w:rsidP="00325209">
      <w:pPr>
        <w:rPr>
          <w:rFonts w:ascii="Garamond" w:hAnsi="Garamond"/>
          <w:b/>
          <w:bCs/>
        </w:rPr>
      </w:pPr>
      <w:r w:rsidRPr="00325209">
        <w:rPr>
          <w:rFonts w:ascii="Garamond" w:hAnsi="Garamond"/>
          <w:b/>
          <w:bCs/>
        </w:rPr>
        <w:t>Week 8</w:t>
      </w:r>
    </w:p>
    <w:p w:rsidR="00325209" w:rsidRPr="00325209" w:rsidRDefault="00325209" w:rsidP="00325209">
      <w:pPr>
        <w:rPr>
          <w:rFonts w:ascii="Garamond" w:hAnsi="Garamond"/>
        </w:rPr>
      </w:pPr>
      <w:r w:rsidRPr="00325209">
        <w:rPr>
          <w:rFonts w:ascii="Garamond" w:hAnsi="Garamond"/>
        </w:rPr>
        <w:t>Mar 4</w:t>
      </w:r>
      <w:r w:rsidRPr="00325209">
        <w:rPr>
          <w:rFonts w:ascii="Garamond" w:hAnsi="Garamond"/>
          <w:vertAlign w:val="superscript"/>
        </w:rPr>
        <w:t>th</w:t>
      </w:r>
      <w:r w:rsidRPr="00325209">
        <w:rPr>
          <w:rFonts w:ascii="Garamond" w:hAnsi="Garamond"/>
        </w:rPr>
        <w:t>, 6</w:t>
      </w:r>
      <w:r w:rsidRPr="00325209">
        <w:rPr>
          <w:rFonts w:ascii="Garamond" w:hAnsi="Garamond"/>
          <w:vertAlign w:val="superscript"/>
        </w:rPr>
        <w:t>th</w:t>
      </w:r>
    </w:p>
    <w:p w:rsidR="00325209" w:rsidRPr="00325209" w:rsidRDefault="00325209" w:rsidP="00325209">
      <w:pPr>
        <w:pStyle w:val="ListParagraph"/>
        <w:numPr>
          <w:ilvl w:val="0"/>
          <w:numId w:val="12"/>
        </w:numPr>
        <w:spacing w:after="0" w:line="240" w:lineRule="auto"/>
        <w:rPr>
          <w:rFonts w:ascii="Garamond" w:hAnsi="Garamond"/>
        </w:rPr>
      </w:pPr>
      <w:r w:rsidRPr="00325209">
        <w:rPr>
          <w:rFonts w:ascii="Garamond" w:hAnsi="Garamond"/>
          <w:color w:val="2D3B45"/>
        </w:rPr>
        <w:t>Thomas Kelly- “Sunk Costs, Rationality and Acting for the Sake of the Past” (excerpts)</w:t>
      </w:r>
    </w:p>
    <w:p w:rsidR="00325209" w:rsidRPr="00325209" w:rsidRDefault="00325209" w:rsidP="00325209">
      <w:pPr>
        <w:pStyle w:val="ListParagraph"/>
        <w:numPr>
          <w:ilvl w:val="0"/>
          <w:numId w:val="12"/>
        </w:numPr>
        <w:spacing w:after="0" w:line="240" w:lineRule="auto"/>
        <w:rPr>
          <w:rFonts w:ascii="Garamond" w:hAnsi="Garamond"/>
        </w:rPr>
      </w:pPr>
      <w:r w:rsidRPr="00325209">
        <w:rPr>
          <w:rFonts w:ascii="Garamond" w:hAnsi="Garamond"/>
          <w:color w:val="2D3B45"/>
        </w:rPr>
        <w:t>Dale Dorsey- “Desire Satisfaction and Welfare as Temporal”</w:t>
      </w:r>
    </w:p>
    <w:p w:rsidR="00325209" w:rsidRPr="00325209" w:rsidRDefault="00325209" w:rsidP="00325209">
      <w:pPr>
        <w:pStyle w:val="ListParagraph"/>
        <w:spacing w:after="200" w:line="276" w:lineRule="auto"/>
        <w:rPr>
          <w:rFonts w:ascii="Garamond" w:hAnsi="Garamond" w:cs="Calibri"/>
        </w:rPr>
      </w:pPr>
    </w:p>
    <w:p w:rsidR="00325209" w:rsidRPr="00325209" w:rsidRDefault="00325209" w:rsidP="00325209">
      <w:pPr>
        <w:pStyle w:val="Heading2"/>
        <w:rPr>
          <w:rFonts w:ascii="Garamond" w:hAnsi="Garamond" w:cs="Calibri"/>
        </w:rPr>
      </w:pPr>
    </w:p>
    <w:p w:rsidR="00CC0F57" w:rsidRPr="00325209" w:rsidRDefault="00CC0F57" w:rsidP="00CC0F57">
      <w:pPr>
        <w:pStyle w:val="ListParagraph"/>
        <w:jc w:val="center"/>
        <w:rPr>
          <w:rFonts w:ascii="Garamond" w:hAnsi="Garamond" w:cs="Calibri"/>
          <w:b/>
          <w:bCs/>
          <w:i/>
          <w:iCs/>
        </w:rPr>
      </w:pPr>
      <w:r w:rsidRPr="00325209">
        <w:rPr>
          <w:rFonts w:ascii="Garamond" w:hAnsi="Garamond" w:cs="Calibri"/>
          <w:b/>
          <w:bCs/>
          <w:i/>
          <w:iCs/>
        </w:rPr>
        <w:t xml:space="preserve">Paper 2 due March </w:t>
      </w:r>
      <w:r>
        <w:rPr>
          <w:rFonts w:ascii="Garamond" w:hAnsi="Garamond" w:cs="Calibri"/>
          <w:b/>
          <w:bCs/>
          <w:i/>
          <w:iCs/>
        </w:rPr>
        <w:t>11</w:t>
      </w:r>
      <w:r w:rsidRPr="00325209">
        <w:rPr>
          <w:rFonts w:ascii="Garamond" w:hAnsi="Garamond" w:cs="Calibri"/>
          <w:b/>
          <w:bCs/>
          <w:i/>
          <w:iCs/>
          <w:vertAlign w:val="superscript"/>
        </w:rPr>
        <w:t>th</w:t>
      </w:r>
    </w:p>
    <w:p w:rsidR="00325209" w:rsidRPr="00325209" w:rsidRDefault="00325209" w:rsidP="00325209">
      <w:pPr>
        <w:rPr>
          <w:rFonts w:ascii="Garamond" w:hAnsi="Garamond" w:cs="Calibri"/>
          <w:b/>
          <w:bCs/>
        </w:rPr>
      </w:pPr>
    </w:p>
    <w:p w:rsidR="00325209" w:rsidRPr="00325209" w:rsidRDefault="00325209" w:rsidP="00325209">
      <w:pPr>
        <w:rPr>
          <w:rFonts w:ascii="Garamond" w:hAnsi="Garamond" w:cs="Calibri"/>
          <w:b/>
          <w:bCs/>
        </w:rPr>
      </w:pPr>
      <w:r w:rsidRPr="00325209">
        <w:rPr>
          <w:rFonts w:ascii="Garamond" w:hAnsi="Garamond" w:cs="Calibri"/>
          <w:b/>
          <w:bCs/>
        </w:rPr>
        <w:t>Week 9</w:t>
      </w:r>
    </w:p>
    <w:p w:rsidR="00325209" w:rsidRPr="00325209" w:rsidRDefault="00325209" w:rsidP="00325209">
      <w:pPr>
        <w:rPr>
          <w:rFonts w:ascii="Garamond" w:hAnsi="Garamond" w:cs="Calibri"/>
        </w:rPr>
      </w:pPr>
      <w:r w:rsidRPr="00325209">
        <w:rPr>
          <w:rFonts w:ascii="Garamond" w:hAnsi="Garamond" w:cs="Calibri"/>
        </w:rPr>
        <w:t>March 11</w:t>
      </w:r>
      <w:r w:rsidRPr="00325209">
        <w:rPr>
          <w:rFonts w:ascii="Garamond" w:hAnsi="Garamond" w:cs="Calibri"/>
          <w:vertAlign w:val="superscript"/>
        </w:rPr>
        <w:t>th</w:t>
      </w:r>
      <w:r w:rsidRPr="00325209">
        <w:rPr>
          <w:rFonts w:ascii="Garamond" w:hAnsi="Garamond" w:cs="Calibri"/>
        </w:rPr>
        <w:t>, 13</w:t>
      </w:r>
      <w:r w:rsidRPr="00325209">
        <w:rPr>
          <w:rFonts w:ascii="Garamond" w:hAnsi="Garamond" w:cs="Calibri"/>
          <w:vertAlign w:val="superscript"/>
        </w:rPr>
        <w:t>th</w:t>
      </w:r>
    </w:p>
    <w:p w:rsidR="00325209" w:rsidRPr="00325209" w:rsidRDefault="00325209" w:rsidP="00325209">
      <w:pPr>
        <w:pStyle w:val="ListParagraph"/>
        <w:numPr>
          <w:ilvl w:val="0"/>
          <w:numId w:val="13"/>
        </w:numPr>
        <w:spacing w:after="0" w:line="240" w:lineRule="auto"/>
        <w:rPr>
          <w:rFonts w:ascii="Garamond" w:hAnsi="Garamond"/>
        </w:rPr>
      </w:pPr>
      <w:r w:rsidRPr="00325209">
        <w:rPr>
          <w:rFonts w:ascii="Garamond" w:hAnsi="Garamond"/>
          <w:color w:val="2D3B45"/>
        </w:rPr>
        <w:t>Frederik Kaufman- “Is Death Bad? Epicurus and Lucretius on the Fear of Death”</w:t>
      </w:r>
    </w:p>
    <w:p w:rsidR="00325209" w:rsidRPr="00325209" w:rsidRDefault="00325209" w:rsidP="00325209">
      <w:pPr>
        <w:numPr>
          <w:ilvl w:val="0"/>
          <w:numId w:val="13"/>
        </w:numPr>
        <w:shd w:val="clear" w:color="auto" w:fill="FFFFFF"/>
        <w:spacing w:before="100" w:beforeAutospacing="1" w:after="100" w:afterAutospacing="1" w:line="240" w:lineRule="auto"/>
        <w:rPr>
          <w:rFonts w:ascii="Garamond" w:hAnsi="Garamond"/>
          <w:color w:val="2D3B45"/>
        </w:rPr>
      </w:pPr>
      <w:r w:rsidRPr="00325209">
        <w:rPr>
          <w:rFonts w:ascii="Garamond" w:hAnsi="Garamond"/>
          <w:color w:val="2D3B45"/>
        </w:rPr>
        <w:t>Steven Luper- “Retroactive Harms and Wrongs”</w:t>
      </w:r>
    </w:p>
    <w:p w:rsidR="00325209" w:rsidRPr="00325209" w:rsidRDefault="00325209" w:rsidP="00325209">
      <w:pPr>
        <w:pStyle w:val="ListParagraph"/>
        <w:spacing w:after="200" w:line="276" w:lineRule="auto"/>
        <w:rPr>
          <w:rFonts w:ascii="Garamond" w:hAnsi="Garamond" w:cs="Calibri"/>
        </w:rPr>
      </w:pPr>
    </w:p>
    <w:p w:rsidR="00325209" w:rsidRPr="00325209" w:rsidRDefault="00325209" w:rsidP="00325209">
      <w:pPr>
        <w:pStyle w:val="ListParagraph"/>
        <w:jc w:val="center"/>
        <w:rPr>
          <w:rFonts w:ascii="Garamond" w:hAnsi="Garamond" w:cs="Calibri"/>
          <w:b/>
          <w:bCs/>
          <w:i/>
          <w:iCs/>
        </w:rPr>
      </w:pPr>
    </w:p>
    <w:p w:rsidR="00325209" w:rsidRPr="00325209" w:rsidRDefault="00325209" w:rsidP="00325209">
      <w:pPr>
        <w:jc w:val="center"/>
        <w:rPr>
          <w:rFonts w:ascii="Garamond" w:hAnsi="Garamond" w:cs="Calibri"/>
          <w:i/>
          <w:iCs/>
        </w:rPr>
      </w:pPr>
      <w:r w:rsidRPr="00325209">
        <w:rPr>
          <w:rFonts w:ascii="Garamond" w:hAnsi="Garamond" w:cs="Calibri"/>
          <w:i/>
          <w:iCs/>
        </w:rPr>
        <w:t>Spring break</w:t>
      </w:r>
    </w:p>
    <w:p w:rsidR="00325209" w:rsidRPr="00325209" w:rsidRDefault="00325209" w:rsidP="00325209">
      <w:pPr>
        <w:rPr>
          <w:rFonts w:ascii="Garamond" w:hAnsi="Garamond" w:cs="Calibri"/>
          <w:b/>
          <w:bCs/>
        </w:rPr>
      </w:pPr>
    </w:p>
    <w:p w:rsidR="00325209" w:rsidRPr="00325209" w:rsidRDefault="00325209" w:rsidP="00325209">
      <w:pPr>
        <w:rPr>
          <w:rFonts w:ascii="Garamond" w:hAnsi="Garamond" w:cs="Calibri"/>
          <w:b/>
          <w:bCs/>
        </w:rPr>
      </w:pPr>
      <w:r w:rsidRPr="00325209">
        <w:rPr>
          <w:rFonts w:ascii="Garamond" w:hAnsi="Garamond" w:cs="Calibri"/>
          <w:b/>
          <w:bCs/>
        </w:rPr>
        <w:t>Week 10</w:t>
      </w:r>
    </w:p>
    <w:p w:rsidR="00325209" w:rsidRPr="00325209" w:rsidRDefault="00325209" w:rsidP="00325209">
      <w:pPr>
        <w:rPr>
          <w:rFonts w:ascii="Garamond" w:hAnsi="Garamond" w:cs="Calibri"/>
        </w:rPr>
      </w:pPr>
      <w:r w:rsidRPr="00325209">
        <w:rPr>
          <w:rFonts w:ascii="Garamond" w:hAnsi="Garamond" w:cs="Calibri"/>
        </w:rPr>
        <w:t>Mar 25</w:t>
      </w:r>
      <w:r w:rsidRPr="00325209">
        <w:rPr>
          <w:rFonts w:ascii="Garamond" w:hAnsi="Garamond" w:cs="Calibri"/>
          <w:vertAlign w:val="superscript"/>
        </w:rPr>
        <w:t>th</w:t>
      </w:r>
      <w:r w:rsidRPr="00325209">
        <w:rPr>
          <w:rFonts w:ascii="Garamond" w:hAnsi="Garamond" w:cs="Calibri"/>
        </w:rPr>
        <w:t>, 27</w:t>
      </w:r>
      <w:r w:rsidRPr="00325209">
        <w:rPr>
          <w:rFonts w:ascii="Garamond" w:hAnsi="Garamond" w:cs="Calibri"/>
          <w:vertAlign w:val="superscript"/>
        </w:rPr>
        <w:t>th</w:t>
      </w:r>
    </w:p>
    <w:p w:rsidR="00325209" w:rsidRPr="00325209" w:rsidRDefault="00325209" w:rsidP="00325209">
      <w:pPr>
        <w:pStyle w:val="ListParagraph"/>
        <w:numPr>
          <w:ilvl w:val="0"/>
          <w:numId w:val="14"/>
        </w:numPr>
        <w:spacing w:after="0" w:line="240" w:lineRule="auto"/>
        <w:rPr>
          <w:rFonts w:ascii="Garamond" w:hAnsi="Garamond"/>
        </w:rPr>
      </w:pPr>
      <w:r w:rsidRPr="00325209">
        <w:rPr>
          <w:rFonts w:ascii="Garamond" w:hAnsi="Garamond"/>
          <w:color w:val="2D3B45"/>
        </w:rPr>
        <w:lastRenderedPageBreak/>
        <w:t>Thomas Nagel- "Death"</w:t>
      </w:r>
    </w:p>
    <w:p w:rsidR="00325209" w:rsidRPr="00325209" w:rsidRDefault="00325209" w:rsidP="00325209">
      <w:pPr>
        <w:pStyle w:val="ListParagraph"/>
        <w:spacing w:after="0" w:line="240" w:lineRule="auto"/>
        <w:rPr>
          <w:rFonts w:ascii="Garamond" w:hAnsi="Garamond" w:cs="Calibri Light"/>
        </w:rPr>
      </w:pPr>
    </w:p>
    <w:p w:rsidR="00325209" w:rsidRPr="00325209" w:rsidRDefault="00325209" w:rsidP="00325209">
      <w:pPr>
        <w:rPr>
          <w:rFonts w:ascii="Garamond" w:hAnsi="Garamond" w:cs="Calibri"/>
        </w:rPr>
      </w:pPr>
    </w:p>
    <w:p w:rsidR="00325209" w:rsidRPr="00325209" w:rsidRDefault="00325209" w:rsidP="00325209">
      <w:pPr>
        <w:rPr>
          <w:rFonts w:ascii="Garamond" w:hAnsi="Garamond" w:cs="Calibri"/>
          <w:b/>
          <w:bCs/>
        </w:rPr>
      </w:pPr>
      <w:r w:rsidRPr="00325209">
        <w:rPr>
          <w:rFonts w:ascii="Garamond" w:hAnsi="Garamond" w:cs="Calibri"/>
          <w:b/>
          <w:bCs/>
        </w:rPr>
        <w:t>Week 11</w:t>
      </w:r>
    </w:p>
    <w:p w:rsidR="00325209" w:rsidRPr="00325209" w:rsidRDefault="00325209" w:rsidP="00325209">
      <w:pPr>
        <w:rPr>
          <w:rFonts w:ascii="Garamond" w:hAnsi="Garamond" w:cs="Calibri"/>
        </w:rPr>
      </w:pPr>
      <w:r w:rsidRPr="00325209">
        <w:rPr>
          <w:rFonts w:ascii="Garamond" w:hAnsi="Garamond" w:cs="Calibri"/>
        </w:rPr>
        <w:t>Apr 1</w:t>
      </w:r>
      <w:r w:rsidRPr="00325209">
        <w:rPr>
          <w:rFonts w:ascii="Garamond" w:hAnsi="Garamond" w:cs="Calibri"/>
          <w:vertAlign w:val="superscript"/>
        </w:rPr>
        <w:t>st</w:t>
      </w:r>
      <w:r w:rsidRPr="00325209">
        <w:rPr>
          <w:rFonts w:ascii="Garamond" w:hAnsi="Garamond" w:cs="Calibri"/>
        </w:rPr>
        <w:t>, 3</w:t>
      </w:r>
      <w:r w:rsidRPr="00325209">
        <w:rPr>
          <w:rFonts w:ascii="Garamond" w:hAnsi="Garamond" w:cs="Calibri"/>
          <w:vertAlign w:val="superscript"/>
        </w:rPr>
        <w:t>rd</w:t>
      </w:r>
    </w:p>
    <w:p w:rsidR="00325209" w:rsidRPr="00325209" w:rsidRDefault="00325209" w:rsidP="00325209">
      <w:pPr>
        <w:pStyle w:val="ListParagraph"/>
        <w:numPr>
          <w:ilvl w:val="0"/>
          <w:numId w:val="15"/>
        </w:numPr>
        <w:spacing w:after="0" w:line="240" w:lineRule="auto"/>
        <w:jc w:val="both"/>
        <w:rPr>
          <w:rFonts w:ascii="Garamond" w:hAnsi="Garamond"/>
          <w:b/>
          <w:u w:val="single"/>
        </w:rPr>
      </w:pPr>
      <w:r w:rsidRPr="00325209">
        <w:rPr>
          <w:rFonts w:ascii="Garamond" w:hAnsi="Garamond"/>
          <w:bCs/>
        </w:rPr>
        <w:t xml:space="preserve">Bernard Williams- “The </w:t>
      </w:r>
      <w:proofErr w:type="spellStart"/>
      <w:r w:rsidRPr="00325209">
        <w:rPr>
          <w:rFonts w:ascii="Garamond" w:hAnsi="Garamond"/>
          <w:bCs/>
        </w:rPr>
        <w:t>Markropoulos</w:t>
      </w:r>
      <w:proofErr w:type="spellEnd"/>
      <w:r w:rsidRPr="00325209">
        <w:rPr>
          <w:rFonts w:ascii="Garamond" w:hAnsi="Garamond"/>
          <w:bCs/>
        </w:rPr>
        <w:t xml:space="preserve"> Case: Reflections on the Tedium of Immortality”</w:t>
      </w:r>
    </w:p>
    <w:p w:rsidR="00325209" w:rsidRPr="00325209" w:rsidRDefault="00325209" w:rsidP="00325209">
      <w:pPr>
        <w:pStyle w:val="ListParagraph"/>
        <w:numPr>
          <w:ilvl w:val="0"/>
          <w:numId w:val="15"/>
        </w:numPr>
        <w:spacing w:after="0" w:line="240" w:lineRule="auto"/>
        <w:jc w:val="both"/>
        <w:rPr>
          <w:rFonts w:ascii="Garamond" w:hAnsi="Garamond"/>
          <w:bCs/>
        </w:rPr>
      </w:pPr>
      <w:r w:rsidRPr="00325209">
        <w:rPr>
          <w:rFonts w:ascii="Garamond" w:hAnsi="Garamond"/>
          <w:bCs/>
        </w:rPr>
        <w:t>Samuel Scheffler- “Death and the Afterlife”</w:t>
      </w:r>
    </w:p>
    <w:p w:rsidR="00325209" w:rsidRPr="00325209" w:rsidRDefault="00325209" w:rsidP="00325209">
      <w:pPr>
        <w:pStyle w:val="ListParagraph"/>
        <w:spacing w:after="200" w:line="276" w:lineRule="auto"/>
        <w:rPr>
          <w:rFonts w:ascii="Garamond" w:hAnsi="Garamond" w:cs="Calibri"/>
        </w:rPr>
      </w:pPr>
    </w:p>
    <w:p w:rsidR="00325209" w:rsidRPr="00325209" w:rsidRDefault="00325209" w:rsidP="00325209">
      <w:pPr>
        <w:rPr>
          <w:rFonts w:ascii="Garamond" w:hAnsi="Garamond" w:cs="Calibri"/>
          <w:b/>
          <w:bCs/>
        </w:rPr>
      </w:pPr>
      <w:r w:rsidRPr="00325209">
        <w:rPr>
          <w:rFonts w:ascii="Garamond" w:hAnsi="Garamond" w:cs="Calibri"/>
          <w:b/>
          <w:bCs/>
        </w:rPr>
        <w:t>Week 12</w:t>
      </w:r>
    </w:p>
    <w:p w:rsidR="00325209" w:rsidRPr="00325209" w:rsidRDefault="00325209" w:rsidP="00325209">
      <w:pPr>
        <w:rPr>
          <w:rFonts w:ascii="Garamond" w:hAnsi="Garamond" w:cs="Calibri"/>
        </w:rPr>
      </w:pPr>
      <w:r w:rsidRPr="00325209">
        <w:rPr>
          <w:rFonts w:ascii="Garamond" w:hAnsi="Garamond" w:cs="Calibri"/>
        </w:rPr>
        <w:t>Apr 8</w:t>
      </w:r>
      <w:r w:rsidRPr="00325209">
        <w:rPr>
          <w:rFonts w:ascii="Garamond" w:hAnsi="Garamond" w:cs="Calibri"/>
          <w:vertAlign w:val="superscript"/>
        </w:rPr>
        <w:t>th</w:t>
      </w:r>
      <w:r w:rsidRPr="00325209">
        <w:rPr>
          <w:rFonts w:ascii="Garamond" w:hAnsi="Garamond" w:cs="Calibri"/>
        </w:rPr>
        <w:t>, 10</w:t>
      </w:r>
      <w:r w:rsidRPr="00325209">
        <w:rPr>
          <w:rFonts w:ascii="Garamond" w:hAnsi="Garamond" w:cs="Calibri"/>
          <w:vertAlign w:val="superscript"/>
        </w:rPr>
        <w:t>th</w:t>
      </w:r>
      <w:r w:rsidRPr="00325209">
        <w:rPr>
          <w:rFonts w:ascii="Garamond" w:hAnsi="Garamond" w:cs="Calibri"/>
        </w:rPr>
        <w:t>, 11</w:t>
      </w:r>
      <w:r w:rsidRPr="00325209">
        <w:rPr>
          <w:rFonts w:ascii="Garamond" w:hAnsi="Garamond" w:cs="Calibri"/>
          <w:vertAlign w:val="superscript"/>
        </w:rPr>
        <w:t>th</w:t>
      </w:r>
      <w:r w:rsidRPr="00325209">
        <w:rPr>
          <w:rFonts w:ascii="Garamond" w:hAnsi="Garamond" w:cs="Calibri"/>
        </w:rPr>
        <w:t xml:space="preserve"> </w:t>
      </w:r>
    </w:p>
    <w:p w:rsidR="00325209" w:rsidRPr="00325209" w:rsidRDefault="00325209" w:rsidP="00325209">
      <w:pPr>
        <w:pStyle w:val="ListParagraph"/>
        <w:numPr>
          <w:ilvl w:val="0"/>
          <w:numId w:val="18"/>
        </w:numPr>
        <w:spacing w:after="0" w:line="240" w:lineRule="auto"/>
        <w:jc w:val="both"/>
        <w:rPr>
          <w:rFonts w:ascii="Garamond" w:hAnsi="Garamond"/>
          <w:b/>
        </w:rPr>
      </w:pPr>
      <w:r w:rsidRPr="00325209">
        <w:rPr>
          <w:rFonts w:ascii="Garamond" w:hAnsi="Garamond"/>
          <w:bCs/>
        </w:rPr>
        <w:t>Niko Kolodny- “That I Should Die and Others Live”</w:t>
      </w:r>
    </w:p>
    <w:p w:rsidR="00325209" w:rsidRPr="00325209" w:rsidRDefault="00325209" w:rsidP="00325209">
      <w:pPr>
        <w:pStyle w:val="ListParagraph"/>
        <w:numPr>
          <w:ilvl w:val="0"/>
          <w:numId w:val="18"/>
        </w:numPr>
        <w:spacing w:after="0" w:line="240" w:lineRule="auto"/>
        <w:jc w:val="both"/>
        <w:rPr>
          <w:rFonts w:ascii="Garamond" w:hAnsi="Garamond"/>
          <w:b/>
        </w:rPr>
      </w:pPr>
      <w:r w:rsidRPr="00325209">
        <w:rPr>
          <w:rFonts w:ascii="Garamond" w:hAnsi="Garamond"/>
          <w:color w:val="2D3B45"/>
        </w:rPr>
        <w:t>Molly Gardner- “Well-Being and the Non-Identity Problem”, Ch. 35 in </w:t>
      </w:r>
      <w:r w:rsidRPr="00325209">
        <w:rPr>
          <w:rStyle w:val="Emphasis"/>
          <w:rFonts w:ascii="Garamond" w:hAnsi="Garamond"/>
          <w:color w:val="2D3B45"/>
        </w:rPr>
        <w:t>The Routledge Handbook of the Philosophy of Well-Being</w:t>
      </w:r>
    </w:p>
    <w:p w:rsidR="00325209" w:rsidRPr="00325209" w:rsidRDefault="00325209" w:rsidP="00CC0F57">
      <w:pPr>
        <w:pStyle w:val="Heading2"/>
        <w:rPr>
          <w:rFonts w:ascii="Garamond" w:hAnsi="Garamond" w:cs="Calibri"/>
        </w:rPr>
      </w:pPr>
    </w:p>
    <w:p w:rsidR="00325209" w:rsidRPr="00325209" w:rsidRDefault="00325209" w:rsidP="00325209">
      <w:pPr>
        <w:rPr>
          <w:rFonts w:ascii="Garamond" w:hAnsi="Garamond" w:cs="Calibri"/>
          <w:b/>
          <w:bCs/>
        </w:rPr>
      </w:pPr>
    </w:p>
    <w:p w:rsidR="00325209" w:rsidRPr="00325209" w:rsidRDefault="00325209" w:rsidP="00325209">
      <w:pPr>
        <w:rPr>
          <w:rFonts w:ascii="Garamond" w:hAnsi="Garamond" w:cs="Calibri"/>
          <w:b/>
          <w:bCs/>
        </w:rPr>
      </w:pPr>
      <w:r w:rsidRPr="00325209">
        <w:rPr>
          <w:rFonts w:ascii="Garamond" w:hAnsi="Garamond" w:cs="Calibri"/>
          <w:b/>
          <w:bCs/>
        </w:rPr>
        <w:t>Week 13</w:t>
      </w:r>
    </w:p>
    <w:p w:rsidR="00325209" w:rsidRPr="00325209" w:rsidRDefault="00325209" w:rsidP="00325209">
      <w:pPr>
        <w:rPr>
          <w:rFonts w:ascii="Garamond" w:hAnsi="Garamond" w:cs="Calibri"/>
        </w:rPr>
      </w:pPr>
      <w:r w:rsidRPr="00325209">
        <w:rPr>
          <w:rFonts w:ascii="Garamond" w:hAnsi="Garamond" w:cs="Calibri"/>
        </w:rPr>
        <w:t>Apr 15</w:t>
      </w:r>
      <w:r w:rsidRPr="00325209">
        <w:rPr>
          <w:rFonts w:ascii="Garamond" w:hAnsi="Garamond" w:cs="Calibri"/>
          <w:vertAlign w:val="superscript"/>
        </w:rPr>
        <w:t>th</w:t>
      </w:r>
      <w:r w:rsidRPr="00325209">
        <w:rPr>
          <w:rFonts w:ascii="Garamond" w:hAnsi="Garamond" w:cs="Calibri"/>
        </w:rPr>
        <w:t>, 17</w:t>
      </w:r>
      <w:r w:rsidRPr="00325209">
        <w:rPr>
          <w:rFonts w:ascii="Garamond" w:hAnsi="Garamond" w:cs="Calibri"/>
          <w:vertAlign w:val="superscript"/>
        </w:rPr>
        <w:t>th</w:t>
      </w:r>
    </w:p>
    <w:p w:rsidR="00325209" w:rsidRPr="00325209" w:rsidRDefault="00325209" w:rsidP="00325209">
      <w:pPr>
        <w:numPr>
          <w:ilvl w:val="0"/>
          <w:numId w:val="16"/>
        </w:numPr>
        <w:shd w:val="clear" w:color="auto" w:fill="FFFFFF"/>
        <w:spacing w:before="100" w:beforeAutospacing="1" w:after="100" w:afterAutospacing="1" w:line="240" w:lineRule="auto"/>
        <w:rPr>
          <w:rFonts w:ascii="Garamond" w:hAnsi="Garamond" w:cs="Calibri Light"/>
          <w:color w:val="2D3B45"/>
        </w:rPr>
      </w:pPr>
      <w:r w:rsidRPr="00325209">
        <w:rPr>
          <w:rFonts w:ascii="Garamond" w:hAnsi="Garamond"/>
          <w:color w:val="2D3B45"/>
        </w:rPr>
        <w:t>Elizabeth Harman- “Can we Harm and Benefit in Creating?”</w:t>
      </w:r>
    </w:p>
    <w:p w:rsidR="00325209" w:rsidRPr="00325209" w:rsidRDefault="00325209" w:rsidP="00325209">
      <w:pPr>
        <w:rPr>
          <w:rFonts w:ascii="Garamond" w:hAnsi="Garamond" w:cs="Calibri"/>
        </w:rPr>
      </w:pPr>
    </w:p>
    <w:p w:rsidR="00325209" w:rsidRPr="00325209" w:rsidRDefault="00325209" w:rsidP="00325209">
      <w:pPr>
        <w:rPr>
          <w:rFonts w:ascii="Garamond" w:hAnsi="Garamond" w:cs="Calibri"/>
          <w:b/>
          <w:bCs/>
        </w:rPr>
      </w:pPr>
      <w:r w:rsidRPr="00325209">
        <w:rPr>
          <w:rFonts w:ascii="Garamond" w:hAnsi="Garamond" w:cs="Calibri"/>
          <w:b/>
          <w:bCs/>
        </w:rPr>
        <w:t>Week 14</w:t>
      </w:r>
    </w:p>
    <w:p w:rsidR="00325209" w:rsidRPr="00325209" w:rsidRDefault="00325209" w:rsidP="00325209">
      <w:pPr>
        <w:rPr>
          <w:rFonts w:ascii="Garamond" w:hAnsi="Garamond"/>
        </w:rPr>
      </w:pPr>
      <w:r w:rsidRPr="00325209">
        <w:rPr>
          <w:rFonts w:ascii="Garamond" w:hAnsi="Garamond"/>
        </w:rPr>
        <w:t>Apr 22</w:t>
      </w:r>
    </w:p>
    <w:p w:rsidR="00325209" w:rsidRPr="00325209" w:rsidRDefault="00325209" w:rsidP="00325209">
      <w:pPr>
        <w:pStyle w:val="ListParagraph"/>
        <w:rPr>
          <w:rFonts w:ascii="Garamond" w:hAnsi="Garamond" w:cs="Calibri"/>
        </w:rPr>
      </w:pPr>
      <w:r w:rsidRPr="00325209">
        <w:rPr>
          <w:rFonts w:ascii="Garamond" w:hAnsi="Garamond" w:cs="Calibri"/>
          <w:i/>
          <w:iCs/>
        </w:rPr>
        <w:t>No reading</w:t>
      </w:r>
      <w:r w:rsidRPr="00325209">
        <w:rPr>
          <w:rFonts w:ascii="Garamond" w:hAnsi="Garamond" w:cs="Calibri"/>
        </w:rPr>
        <w:tab/>
      </w:r>
    </w:p>
    <w:p w:rsidR="00325209" w:rsidRPr="00325209" w:rsidRDefault="00325209" w:rsidP="00325209">
      <w:pPr>
        <w:jc w:val="center"/>
        <w:rPr>
          <w:rFonts w:ascii="Garamond" w:hAnsi="Garamond" w:cs="Calibri"/>
          <w:b/>
          <w:bCs/>
          <w:i/>
          <w:iCs/>
        </w:rPr>
      </w:pPr>
    </w:p>
    <w:p w:rsidR="00325209" w:rsidRPr="00325209" w:rsidRDefault="00325209" w:rsidP="00325209">
      <w:pPr>
        <w:jc w:val="center"/>
        <w:rPr>
          <w:rFonts w:ascii="Garamond" w:hAnsi="Garamond" w:cs="Calibri"/>
          <w:b/>
          <w:bCs/>
          <w:i/>
          <w:iCs/>
        </w:rPr>
      </w:pPr>
      <w:r w:rsidRPr="00325209">
        <w:rPr>
          <w:rFonts w:ascii="Garamond" w:hAnsi="Garamond" w:cs="Calibri"/>
          <w:b/>
          <w:bCs/>
          <w:i/>
          <w:iCs/>
        </w:rPr>
        <w:t>Paper 3 due Friday April 2</w:t>
      </w:r>
      <w:r w:rsidR="00CC0F57">
        <w:rPr>
          <w:rFonts w:ascii="Garamond" w:hAnsi="Garamond" w:cs="Calibri"/>
          <w:b/>
          <w:bCs/>
          <w:i/>
          <w:iCs/>
        </w:rPr>
        <w:t>5</w:t>
      </w:r>
      <w:r w:rsidRPr="00325209">
        <w:rPr>
          <w:rFonts w:ascii="Garamond" w:hAnsi="Garamond" w:cs="Calibri"/>
          <w:b/>
          <w:bCs/>
          <w:i/>
          <w:iCs/>
        </w:rPr>
        <w:t>th</w:t>
      </w:r>
    </w:p>
    <w:p w:rsidR="00325209" w:rsidRPr="004131A8" w:rsidRDefault="00325209" w:rsidP="00325209">
      <w:pPr>
        <w:jc w:val="center"/>
        <w:rPr>
          <w:rFonts w:ascii="Garamond" w:hAnsi="Garamond" w:cs="Calibri"/>
          <w:b/>
          <w:bCs/>
          <w:i/>
          <w:iCs/>
        </w:rPr>
      </w:pPr>
    </w:p>
    <w:p w:rsidR="00325209" w:rsidRDefault="00325209" w:rsidP="00325209">
      <w:pPr>
        <w:rPr>
          <w:rFonts w:ascii="Garamond" w:hAnsi="Garamond" w:cs="Calibri"/>
        </w:rPr>
      </w:pPr>
    </w:p>
    <w:p w:rsidR="00325209" w:rsidRDefault="00325209" w:rsidP="00325209">
      <w:pPr>
        <w:rPr>
          <w:rFonts w:ascii="Garamond" w:hAnsi="Garamond" w:cs="Calibri"/>
        </w:rPr>
      </w:pPr>
      <w:r>
        <w:rPr>
          <w:rFonts w:ascii="Garamond" w:hAnsi="Garamond" w:cs="Calibri"/>
        </w:rPr>
        <w:br w:type="page"/>
      </w:r>
    </w:p>
    <w:p w:rsidR="00325209" w:rsidRDefault="00325209" w:rsidP="00325209">
      <w:pPr>
        <w:rPr>
          <w:rFonts w:ascii="Garamond" w:hAnsi="Garamond" w:cs="Calibri"/>
        </w:rPr>
      </w:pPr>
    </w:p>
    <w:tbl>
      <w:tblPr>
        <w:tblStyle w:val="TableGrid"/>
        <w:tblW w:w="0" w:type="auto"/>
        <w:tblLook w:val="04A0" w:firstRow="1" w:lastRow="0" w:firstColumn="1" w:lastColumn="0" w:noHBand="0" w:noVBand="1"/>
      </w:tblPr>
      <w:tblGrid>
        <w:gridCol w:w="1599"/>
        <w:gridCol w:w="1538"/>
        <w:gridCol w:w="1538"/>
        <w:gridCol w:w="1538"/>
        <w:gridCol w:w="1598"/>
        <w:gridCol w:w="1539"/>
      </w:tblGrid>
      <w:tr w:rsidR="00325209" w:rsidRPr="00DA19FD" w:rsidTr="00FA60A6">
        <w:tc>
          <w:tcPr>
            <w:tcW w:w="12950" w:type="dxa"/>
            <w:gridSpan w:val="6"/>
          </w:tcPr>
          <w:p w:rsidR="00325209" w:rsidRPr="00DA19FD" w:rsidRDefault="00325209" w:rsidP="00FA60A6">
            <w:pPr>
              <w:pStyle w:val="NormalWeb"/>
              <w:shd w:val="clear" w:color="auto" w:fill="FFFFFF"/>
              <w:jc w:val="center"/>
              <w:rPr>
                <w:b/>
                <w:bCs/>
                <w:sz w:val="18"/>
                <w:szCs w:val="18"/>
              </w:rPr>
            </w:pPr>
            <w:r>
              <w:rPr>
                <w:b/>
                <w:bCs/>
                <w:sz w:val="18"/>
                <w:szCs w:val="18"/>
              </w:rPr>
              <w:t xml:space="preserve">ADDENDUM: </w:t>
            </w:r>
            <w:r w:rsidRPr="00DA19FD">
              <w:rPr>
                <w:b/>
                <w:bCs/>
                <w:sz w:val="18"/>
                <w:szCs w:val="18"/>
              </w:rPr>
              <w:t>WRITING ASSESSMENT RUBRIC</w:t>
            </w:r>
          </w:p>
        </w:tc>
      </w:tr>
      <w:tr w:rsidR="00325209" w:rsidRPr="00DA19FD" w:rsidTr="00FA60A6">
        <w:tc>
          <w:tcPr>
            <w:tcW w:w="2158" w:type="dxa"/>
          </w:tcPr>
          <w:p w:rsidR="00325209" w:rsidRPr="00DA19FD" w:rsidRDefault="00325209" w:rsidP="00FA60A6">
            <w:pPr>
              <w:pStyle w:val="NormalWeb"/>
              <w:shd w:val="clear" w:color="auto" w:fill="FFFFFF"/>
              <w:rPr>
                <w:sz w:val="18"/>
                <w:szCs w:val="18"/>
              </w:rPr>
            </w:pPr>
          </w:p>
        </w:tc>
        <w:tc>
          <w:tcPr>
            <w:tcW w:w="2158" w:type="dxa"/>
          </w:tcPr>
          <w:p w:rsidR="00325209" w:rsidRPr="00DA19FD" w:rsidRDefault="00325209" w:rsidP="00FA60A6">
            <w:pPr>
              <w:pStyle w:val="NormalWeb"/>
              <w:shd w:val="clear" w:color="auto" w:fill="FFFFFF"/>
              <w:rPr>
                <w:b/>
                <w:bCs/>
                <w:sz w:val="18"/>
                <w:szCs w:val="18"/>
              </w:rPr>
            </w:pPr>
            <w:r w:rsidRPr="00DA19FD">
              <w:rPr>
                <w:b/>
                <w:bCs/>
                <w:sz w:val="18"/>
                <w:szCs w:val="18"/>
              </w:rPr>
              <w:t>A</w:t>
            </w:r>
          </w:p>
        </w:tc>
        <w:tc>
          <w:tcPr>
            <w:tcW w:w="2158" w:type="dxa"/>
          </w:tcPr>
          <w:p w:rsidR="00325209" w:rsidRPr="00DA19FD" w:rsidRDefault="00325209" w:rsidP="00FA60A6">
            <w:pPr>
              <w:pStyle w:val="NormalWeb"/>
              <w:shd w:val="clear" w:color="auto" w:fill="FFFFFF"/>
              <w:rPr>
                <w:b/>
                <w:bCs/>
                <w:sz w:val="18"/>
                <w:szCs w:val="18"/>
              </w:rPr>
            </w:pPr>
            <w:r w:rsidRPr="00DA19FD">
              <w:rPr>
                <w:b/>
                <w:bCs/>
                <w:sz w:val="18"/>
                <w:szCs w:val="18"/>
              </w:rPr>
              <w:t>B</w:t>
            </w:r>
          </w:p>
        </w:tc>
        <w:tc>
          <w:tcPr>
            <w:tcW w:w="2158" w:type="dxa"/>
          </w:tcPr>
          <w:p w:rsidR="00325209" w:rsidRPr="00DA19FD" w:rsidRDefault="00325209" w:rsidP="00FA60A6">
            <w:pPr>
              <w:pStyle w:val="NormalWeb"/>
              <w:shd w:val="clear" w:color="auto" w:fill="FFFFFF"/>
              <w:rPr>
                <w:b/>
                <w:bCs/>
                <w:sz w:val="18"/>
                <w:szCs w:val="18"/>
              </w:rPr>
            </w:pPr>
            <w:r w:rsidRPr="00DA19FD">
              <w:rPr>
                <w:b/>
                <w:bCs/>
                <w:sz w:val="18"/>
                <w:szCs w:val="18"/>
              </w:rPr>
              <w:t>C</w:t>
            </w:r>
          </w:p>
        </w:tc>
        <w:tc>
          <w:tcPr>
            <w:tcW w:w="2159" w:type="dxa"/>
          </w:tcPr>
          <w:p w:rsidR="00325209" w:rsidRPr="00DA19FD" w:rsidRDefault="00325209" w:rsidP="00FA60A6">
            <w:pPr>
              <w:pStyle w:val="NormalWeb"/>
              <w:shd w:val="clear" w:color="auto" w:fill="FFFFFF"/>
              <w:rPr>
                <w:b/>
                <w:bCs/>
                <w:sz w:val="18"/>
                <w:szCs w:val="18"/>
              </w:rPr>
            </w:pPr>
            <w:r w:rsidRPr="00DA19FD">
              <w:rPr>
                <w:b/>
                <w:bCs/>
                <w:sz w:val="18"/>
                <w:szCs w:val="18"/>
              </w:rPr>
              <w:t>D</w:t>
            </w:r>
          </w:p>
        </w:tc>
        <w:tc>
          <w:tcPr>
            <w:tcW w:w="2159" w:type="dxa"/>
          </w:tcPr>
          <w:p w:rsidR="00325209" w:rsidRPr="00DA19FD" w:rsidRDefault="00325209" w:rsidP="00FA60A6">
            <w:pPr>
              <w:pStyle w:val="NormalWeb"/>
              <w:shd w:val="clear" w:color="auto" w:fill="FFFFFF"/>
              <w:rPr>
                <w:b/>
                <w:bCs/>
                <w:sz w:val="18"/>
                <w:szCs w:val="18"/>
              </w:rPr>
            </w:pPr>
            <w:r w:rsidRPr="00DA19FD">
              <w:rPr>
                <w:b/>
                <w:bCs/>
                <w:sz w:val="18"/>
                <w:szCs w:val="18"/>
              </w:rPr>
              <w:t>E</w:t>
            </w:r>
          </w:p>
        </w:tc>
      </w:tr>
      <w:tr w:rsidR="00325209" w:rsidRPr="00DA19FD" w:rsidTr="00FA60A6">
        <w:tc>
          <w:tcPr>
            <w:tcW w:w="2158" w:type="dxa"/>
          </w:tcPr>
          <w:p w:rsidR="00325209" w:rsidRPr="00DA19FD" w:rsidRDefault="00325209" w:rsidP="00FA60A6">
            <w:pPr>
              <w:pStyle w:val="NormalWeb"/>
              <w:shd w:val="clear" w:color="auto" w:fill="FFFFFF"/>
              <w:rPr>
                <w:b/>
                <w:bCs/>
                <w:sz w:val="16"/>
                <w:szCs w:val="16"/>
              </w:rPr>
            </w:pPr>
            <w:r w:rsidRPr="00DA19FD">
              <w:rPr>
                <w:b/>
                <w:bCs/>
                <w:sz w:val="16"/>
                <w:szCs w:val="16"/>
              </w:rPr>
              <w:t xml:space="preserve">RESPONSE TO PAPER TOPIC, FOCUSED USE OF TEXTS AND COURSE MA TERIAL </w:t>
            </w:r>
          </w:p>
          <w:p w:rsidR="00325209" w:rsidRPr="00DA19FD" w:rsidRDefault="00325209" w:rsidP="00FA60A6">
            <w:pPr>
              <w:rPr>
                <w:rFonts w:ascii="Times New Roman" w:hAnsi="Times New Roman" w:cs="Times New Roman"/>
                <w:b/>
                <w:bCs/>
                <w:sz w:val="16"/>
                <w:szCs w:val="16"/>
              </w:rPr>
            </w:pP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Overall, the paper does an excellent job of responding to the topic question and reflects a more than competent command of the relevant texts and material discussed in class.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Overall, the paper responds well to the topic question and reflects a competent command of the relevant texts and material discussed in class.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Overall, the paper provides a merely sufficient response to the topic question and reflects a less than competent command of the relevant texts and material discussed in class.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Overall, the paper only partially responds to the topic and reflects an incompetent command of the relevant texts and materials discussed in class.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Overall, the paper does not respond to the topic and fails to draw upon relevant texts and materials discussed in class. </w:t>
            </w:r>
          </w:p>
          <w:p w:rsidR="00325209" w:rsidRPr="00DA19FD" w:rsidRDefault="00325209" w:rsidP="00FA60A6">
            <w:pPr>
              <w:rPr>
                <w:rFonts w:ascii="Times New Roman" w:hAnsi="Times New Roman" w:cs="Times New Roman"/>
                <w:sz w:val="16"/>
                <w:szCs w:val="16"/>
              </w:rPr>
            </w:pPr>
          </w:p>
        </w:tc>
      </w:tr>
      <w:tr w:rsidR="00325209" w:rsidRPr="00DA19FD" w:rsidTr="00FA60A6">
        <w:trPr>
          <w:trHeight w:val="1394"/>
        </w:trPr>
        <w:tc>
          <w:tcPr>
            <w:tcW w:w="2158" w:type="dxa"/>
          </w:tcPr>
          <w:p w:rsidR="00325209" w:rsidRPr="00DA19FD" w:rsidRDefault="00325209" w:rsidP="00FA60A6">
            <w:pPr>
              <w:pStyle w:val="NormalWeb"/>
              <w:shd w:val="clear" w:color="auto" w:fill="FFFFFF"/>
              <w:rPr>
                <w:b/>
                <w:bCs/>
                <w:sz w:val="16"/>
                <w:szCs w:val="16"/>
              </w:rPr>
            </w:pPr>
            <w:r w:rsidRPr="00DA19FD">
              <w:rPr>
                <w:b/>
                <w:bCs/>
                <w:sz w:val="16"/>
                <w:szCs w:val="16"/>
              </w:rPr>
              <w:t xml:space="preserve">INTRO &amp; THESIS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introduction &amp; thesis do an excellent job of identifying the issues raised by the topic to be discussed in the rest of the paper. The thesis makes a significant and debatable claim.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introduction &amp; thesis do a good enough job of identifying the issues raised by the topic to be discussed in the rest of the paper. The thesis is clear and fairly interesting.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introduction &amp; thesis do not adequately identify the issues raised by the topic to be discussed in the rest of the paper. The thesis is somewhat unclear, fairly obvious, or a bit misguided.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The introduction &amp; thesis do not identify the issues raised by the topic to be discussed in the rest of the paper. The thesis is confused, obvious, or obviously wrong. </w:t>
            </w:r>
          </w:p>
          <w:p w:rsidR="00325209" w:rsidRPr="00DA19FD" w:rsidRDefault="00325209" w:rsidP="00FA60A6">
            <w:pPr>
              <w:rPr>
                <w:rFonts w:ascii="Times New Roman" w:hAnsi="Times New Roman" w:cs="Times New Roman"/>
                <w:sz w:val="16"/>
                <w:szCs w:val="16"/>
              </w:rPr>
            </w:pP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The introduction &amp; thesis do not identify the issues raised by the topic to be discussed in the rest of the paper. The thesis is missing or incoherent. </w:t>
            </w:r>
          </w:p>
        </w:tc>
      </w:tr>
      <w:tr w:rsidR="00325209" w:rsidRPr="00DA19FD" w:rsidTr="00FA60A6">
        <w:tc>
          <w:tcPr>
            <w:tcW w:w="2158" w:type="dxa"/>
          </w:tcPr>
          <w:p w:rsidR="00325209" w:rsidRPr="00DA19FD" w:rsidRDefault="00325209" w:rsidP="00FA60A6">
            <w:pPr>
              <w:pStyle w:val="NormalWeb"/>
              <w:shd w:val="clear" w:color="auto" w:fill="FFFFFF"/>
              <w:rPr>
                <w:b/>
                <w:bCs/>
                <w:sz w:val="16"/>
                <w:szCs w:val="16"/>
              </w:rPr>
            </w:pPr>
            <w:r w:rsidRPr="00DA19FD">
              <w:rPr>
                <w:b/>
                <w:bCs/>
                <w:sz w:val="16"/>
                <w:szCs w:val="16"/>
              </w:rPr>
              <w:t xml:space="preserve">PARAGRAPH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•Paragraphs are excellently written. Paragraphs make a point, with clear topic sentences to govern them, contain no irrelevant sentences or gaps, and each paragraph advances the thesis one step further.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•Paragraphs do a good enough job of making a point, and have clear enough topic sentences to govern them. They contain no irrelevant sentences or gaps, and each paragraph for the most part advances the thesis one step further.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Only some of the paragraphs do their job well enough. Topic sentences are partly clear or only partially govern; point of the paragraphs is only somewhat intact; the paragraphs don’t explicitly relate to the thesis or to nearby paragraphs.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An unsatisfactory use of paragraphs. Topic sentences are missing or unclear. Paragraphs have multiple or underdeveloped ideas. Paragraphs are islands and have no relation to thesis or nearby paragraphs.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It is unclear how the paragraphs are individual units of meaning toward an overall end. </w:t>
            </w:r>
          </w:p>
        </w:tc>
      </w:tr>
      <w:tr w:rsidR="00325209" w:rsidRPr="00DA19FD" w:rsidTr="00FA60A6">
        <w:tc>
          <w:tcPr>
            <w:tcW w:w="2158" w:type="dxa"/>
          </w:tcPr>
          <w:p w:rsidR="00325209" w:rsidRDefault="00325209" w:rsidP="00FA60A6">
            <w:pPr>
              <w:pStyle w:val="NormalWeb"/>
              <w:shd w:val="clear" w:color="auto" w:fill="FFFFFF"/>
              <w:rPr>
                <w:b/>
                <w:bCs/>
                <w:sz w:val="16"/>
                <w:szCs w:val="16"/>
              </w:rPr>
            </w:pPr>
            <w:r w:rsidRPr="00DA19FD">
              <w:rPr>
                <w:b/>
                <w:bCs/>
                <w:sz w:val="16"/>
                <w:szCs w:val="16"/>
              </w:rPr>
              <w:t xml:space="preserve">STRUCTURE OF ARGUMENT </w:t>
            </w:r>
          </w:p>
          <w:p w:rsidR="00325209" w:rsidRPr="00DA19FD" w:rsidRDefault="00325209" w:rsidP="00FA60A6">
            <w:pPr>
              <w:pStyle w:val="NormalWeb"/>
              <w:shd w:val="clear" w:color="auto" w:fill="FFFFFF"/>
              <w:rPr>
                <w:b/>
                <w:bCs/>
                <w:sz w:val="16"/>
                <w:szCs w:val="16"/>
              </w:rPr>
            </w:pPr>
          </w:p>
          <w:p w:rsidR="00325209" w:rsidRPr="00DA19FD" w:rsidRDefault="00325209" w:rsidP="00FA60A6">
            <w:pPr>
              <w:rPr>
                <w:rFonts w:ascii="Times New Roman" w:hAnsi="Times New Roman" w:cs="Times New Roman"/>
                <w:b/>
                <w:bCs/>
                <w:sz w:val="16"/>
                <w:szCs w:val="16"/>
              </w:rPr>
            </w:pP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argumentative line of the paper is fully intact—all the content of the paper supports its main ideas with no irrelevant material and no gaps in argument. The argument advances in a manner that is easy to follow.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argumentative line of the paper is almost intact— almost all the content of the paper supports its main ideas with no irrelevant material and very few gaps in argument. The argument advances in a manner that is for the most part easy to follow.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argumentative line of the paper is generally intact— content of the paper generally supports its main ideas, though there is some irrelevant material and perhaps some gaps in argument. The argument is difficult to follow in places.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The argumentative line is not intact— the content of the paper tends not to support its main ideas, and there is a good deal of irrelevant material and/or major gaps in the argument. The argument is difficult to follow or incomplete.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The argumentative line is either missing or incoherent—how the content of the paper is supposed to support its main ideas is unclear, there is far too much irrelevant material, and there is a failure to link pieces of the idea to one another. The argument is very difficult to follow. </w:t>
            </w:r>
            <w:r w:rsidRPr="00DA19FD">
              <w:rPr>
                <w:sz w:val="16"/>
                <w:szCs w:val="16"/>
              </w:rPr>
              <w:br/>
            </w:r>
          </w:p>
        </w:tc>
      </w:tr>
      <w:tr w:rsidR="00325209" w:rsidRPr="00DA19FD" w:rsidTr="00FA60A6">
        <w:tc>
          <w:tcPr>
            <w:tcW w:w="2158" w:type="dxa"/>
          </w:tcPr>
          <w:p w:rsidR="00325209" w:rsidRPr="00DA19FD" w:rsidRDefault="00325209" w:rsidP="00FA60A6">
            <w:pPr>
              <w:pStyle w:val="NormalWeb"/>
              <w:shd w:val="clear" w:color="auto" w:fill="FFFFFF"/>
              <w:rPr>
                <w:b/>
                <w:bCs/>
                <w:sz w:val="16"/>
                <w:szCs w:val="16"/>
              </w:rPr>
            </w:pPr>
            <w:r w:rsidRPr="00DA19FD">
              <w:rPr>
                <w:b/>
                <w:bCs/>
                <w:sz w:val="16"/>
                <w:szCs w:val="16"/>
              </w:rPr>
              <w:t xml:space="preserve">STRENGTH OF ARGUMENT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main ideas of the paper are clear and convincing. </w:t>
            </w:r>
            <w:r w:rsidRPr="00DA19FD">
              <w:rPr>
                <w:sz w:val="16"/>
                <w:szCs w:val="16"/>
              </w:rPr>
              <w:br/>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The main ideas of the paper are for the most part clear and convincing.</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main ideas of the paper are only partially clear and convincing.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The main ideas of the paper are only marginally clear and convincing.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It is unclear what the paper's main ideas are supposed to be. </w:t>
            </w:r>
          </w:p>
        </w:tc>
      </w:tr>
      <w:tr w:rsidR="00325209" w:rsidRPr="00DA19FD" w:rsidTr="00FA60A6">
        <w:tc>
          <w:tcPr>
            <w:tcW w:w="2158" w:type="dxa"/>
          </w:tcPr>
          <w:p w:rsidR="00325209" w:rsidRPr="00DA19FD" w:rsidRDefault="00325209" w:rsidP="00FA60A6">
            <w:pPr>
              <w:pStyle w:val="NormalWeb"/>
              <w:shd w:val="clear" w:color="auto" w:fill="FFFFFF"/>
              <w:rPr>
                <w:b/>
                <w:bCs/>
                <w:sz w:val="16"/>
                <w:szCs w:val="16"/>
              </w:rPr>
            </w:pPr>
            <w:r w:rsidRPr="00DA19FD">
              <w:rPr>
                <w:b/>
                <w:bCs/>
                <w:sz w:val="16"/>
                <w:szCs w:val="16"/>
              </w:rPr>
              <w:t xml:space="preserve">USE OF EVIDENCE </w:t>
            </w:r>
          </w:p>
          <w:p w:rsidR="00325209" w:rsidRPr="00DA19FD" w:rsidRDefault="00325209" w:rsidP="00FA60A6">
            <w:pPr>
              <w:rPr>
                <w:rFonts w:ascii="Times New Roman" w:hAnsi="Times New Roman" w:cs="Times New Roman"/>
                <w:b/>
                <w:bCs/>
                <w:sz w:val="16"/>
                <w:szCs w:val="16"/>
              </w:rPr>
            </w:pP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paper's claims are all well-grounded in cogent interpretations of the relevant textual evidence.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The paper's claims are generally well-grounded in cogent interpretations of the relevant textual evidence. </w:t>
            </w:r>
          </w:p>
        </w:tc>
        <w:tc>
          <w:tcPr>
            <w:tcW w:w="2158" w:type="dxa"/>
          </w:tcPr>
          <w:p w:rsidR="00325209" w:rsidRPr="00DA19FD" w:rsidRDefault="00325209" w:rsidP="00FA60A6">
            <w:pPr>
              <w:pStyle w:val="NormalWeb"/>
              <w:shd w:val="clear" w:color="auto" w:fill="FFFFFF"/>
              <w:rPr>
                <w:sz w:val="16"/>
                <w:szCs w:val="16"/>
              </w:rPr>
            </w:pPr>
            <w:r w:rsidRPr="00DA19FD">
              <w:rPr>
                <w:sz w:val="16"/>
                <w:szCs w:val="16"/>
              </w:rPr>
              <w:t xml:space="preserve">• Only some of the paper's claims are well-grounded in cogent interpretations of the relevant textual evidence.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None of the interpretations on which the paper's claims are based are cogent. </w:t>
            </w:r>
          </w:p>
        </w:tc>
        <w:tc>
          <w:tcPr>
            <w:tcW w:w="2159" w:type="dxa"/>
          </w:tcPr>
          <w:p w:rsidR="00325209" w:rsidRPr="00DA19FD" w:rsidRDefault="00325209" w:rsidP="00FA60A6">
            <w:pPr>
              <w:pStyle w:val="NormalWeb"/>
              <w:shd w:val="clear" w:color="auto" w:fill="FFFFFF"/>
              <w:rPr>
                <w:sz w:val="16"/>
                <w:szCs w:val="16"/>
              </w:rPr>
            </w:pPr>
            <w:r w:rsidRPr="00DA19FD">
              <w:rPr>
                <w:sz w:val="16"/>
                <w:szCs w:val="16"/>
              </w:rPr>
              <w:t xml:space="preserve">• None of the paper's claims are based on interpretations of the relevant textual evidence. </w:t>
            </w:r>
          </w:p>
        </w:tc>
      </w:tr>
    </w:tbl>
    <w:p w:rsidR="00325209" w:rsidRDefault="00325209"/>
    <w:sectPr w:rsidR="00325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D7521"/>
    <w:multiLevelType w:val="hybridMultilevel"/>
    <w:tmpl w:val="70B662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E5E2C"/>
    <w:multiLevelType w:val="multilevel"/>
    <w:tmpl w:val="F4C0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860DB"/>
    <w:multiLevelType w:val="multilevel"/>
    <w:tmpl w:val="E2C6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A3B0B"/>
    <w:multiLevelType w:val="multilevel"/>
    <w:tmpl w:val="8BC4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266E5"/>
    <w:multiLevelType w:val="multilevel"/>
    <w:tmpl w:val="4678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8651C"/>
    <w:multiLevelType w:val="hybridMultilevel"/>
    <w:tmpl w:val="7C0423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330AF"/>
    <w:multiLevelType w:val="multilevel"/>
    <w:tmpl w:val="AEEAD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5414B5"/>
    <w:multiLevelType w:val="multilevel"/>
    <w:tmpl w:val="4CCA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6681A"/>
    <w:multiLevelType w:val="hybridMultilevel"/>
    <w:tmpl w:val="865A8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B5B68"/>
    <w:multiLevelType w:val="hybridMultilevel"/>
    <w:tmpl w:val="AFA82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F0DAE"/>
    <w:multiLevelType w:val="hybridMultilevel"/>
    <w:tmpl w:val="E56873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D83420"/>
    <w:multiLevelType w:val="hybridMultilevel"/>
    <w:tmpl w:val="CE7E2E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12E8B"/>
    <w:multiLevelType w:val="hybridMultilevel"/>
    <w:tmpl w:val="9B34AC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6539AB"/>
    <w:multiLevelType w:val="hybridMultilevel"/>
    <w:tmpl w:val="0D803E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80E78"/>
    <w:multiLevelType w:val="multilevel"/>
    <w:tmpl w:val="A926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E3703F"/>
    <w:multiLevelType w:val="multilevel"/>
    <w:tmpl w:val="C2C6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69364F"/>
    <w:multiLevelType w:val="multilevel"/>
    <w:tmpl w:val="8640E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6D5299"/>
    <w:multiLevelType w:val="hybridMultilevel"/>
    <w:tmpl w:val="FD402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3660725">
    <w:abstractNumId w:val="2"/>
  </w:num>
  <w:num w:numId="2" w16cid:durableId="348147628">
    <w:abstractNumId w:val="4"/>
  </w:num>
  <w:num w:numId="3" w16cid:durableId="1574588264">
    <w:abstractNumId w:val="14"/>
  </w:num>
  <w:num w:numId="4" w16cid:durableId="560598059">
    <w:abstractNumId w:val="7"/>
  </w:num>
  <w:num w:numId="5" w16cid:durableId="2119332971">
    <w:abstractNumId w:val="1"/>
  </w:num>
  <w:num w:numId="6" w16cid:durableId="269049894">
    <w:abstractNumId w:val="3"/>
  </w:num>
  <w:num w:numId="7" w16cid:durableId="1267537483">
    <w:abstractNumId w:val="15"/>
  </w:num>
  <w:num w:numId="8" w16cid:durableId="1706365738">
    <w:abstractNumId w:val="16"/>
  </w:num>
  <w:num w:numId="9" w16cid:durableId="516040501">
    <w:abstractNumId w:val="6"/>
  </w:num>
  <w:num w:numId="10" w16cid:durableId="1327200408">
    <w:abstractNumId w:val="13"/>
  </w:num>
  <w:num w:numId="11" w16cid:durableId="1381242384">
    <w:abstractNumId w:val="8"/>
  </w:num>
  <w:num w:numId="12" w16cid:durableId="50471665">
    <w:abstractNumId w:val="11"/>
  </w:num>
  <w:num w:numId="13" w16cid:durableId="2104299387">
    <w:abstractNumId w:val="9"/>
  </w:num>
  <w:num w:numId="14" w16cid:durableId="833230151">
    <w:abstractNumId w:val="0"/>
  </w:num>
  <w:num w:numId="15" w16cid:durableId="625894126">
    <w:abstractNumId w:val="5"/>
  </w:num>
  <w:num w:numId="16" w16cid:durableId="45035088">
    <w:abstractNumId w:val="17"/>
  </w:num>
  <w:num w:numId="17" w16cid:durableId="19935068">
    <w:abstractNumId w:val="10"/>
  </w:num>
  <w:num w:numId="18" w16cid:durableId="1259556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8B6"/>
    <w:rsid w:val="00325209"/>
    <w:rsid w:val="003908B6"/>
    <w:rsid w:val="004A024E"/>
    <w:rsid w:val="00CC0F57"/>
    <w:rsid w:val="00FB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F13325"/>
  <w15:chartTrackingRefBased/>
  <w15:docId w15:val="{A5362308-195B-AF4B-AF81-23B6AD6C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8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908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08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08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08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0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8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908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08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08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08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0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8B6"/>
    <w:rPr>
      <w:rFonts w:eastAsiaTheme="majorEastAsia" w:cstheme="majorBidi"/>
      <w:color w:val="272727" w:themeColor="text1" w:themeTint="D8"/>
    </w:rPr>
  </w:style>
  <w:style w:type="paragraph" w:styleId="Title">
    <w:name w:val="Title"/>
    <w:basedOn w:val="Normal"/>
    <w:next w:val="Normal"/>
    <w:link w:val="TitleChar"/>
    <w:uiPriority w:val="10"/>
    <w:qFormat/>
    <w:rsid w:val="00390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8B6"/>
    <w:pPr>
      <w:spacing w:before="160"/>
      <w:jc w:val="center"/>
    </w:pPr>
    <w:rPr>
      <w:i/>
      <w:iCs/>
      <w:color w:val="404040" w:themeColor="text1" w:themeTint="BF"/>
    </w:rPr>
  </w:style>
  <w:style w:type="character" w:customStyle="1" w:styleId="QuoteChar">
    <w:name w:val="Quote Char"/>
    <w:basedOn w:val="DefaultParagraphFont"/>
    <w:link w:val="Quote"/>
    <w:uiPriority w:val="29"/>
    <w:rsid w:val="003908B6"/>
    <w:rPr>
      <w:i/>
      <w:iCs/>
      <w:color w:val="404040" w:themeColor="text1" w:themeTint="BF"/>
    </w:rPr>
  </w:style>
  <w:style w:type="paragraph" w:styleId="ListParagraph">
    <w:name w:val="List Paragraph"/>
    <w:basedOn w:val="Normal"/>
    <w:uiPriority w:val="34"/>
    <w:qFormat/>
    <w:rsid w:val="003908B6"/>
    <w:pPr>
      <w:ind w:left="720"/>
      <w:contextualSpacing/>
    </w:pPr>
  </w:style>
  <w:style w:type="character" w:styleId="IntenseEmphasis">
    <w:name w:val="Intense Emphasis"/>
    <w:basedOn w:val="DefaultParagraphFont"/>
    <w:uiPriority w:val="21"/>
    <w:qFormat/>
    <w:rsid w:val="003908B6"/>
    <w:rPr>
      <w:i/>
      <w:iCs/>
      <w:color w:val="2F5496" w:themeColor="accent1" w:themeShade="BF"/>
    </w:rPr>
  </w:style>
  <w:style w:type="paragraph" w:styleId="IntenseQuote">
    <w:name w:val="Intense Quote"/>
    <w:basedOn w:val="Normal"/>
    <w:next w:val="Normal"/>
    <w:link w:val="IntenseQuoteChar"/>
    <w:uiPriority w:val="30"/>
    <w:qFormat/>
    <w:rsid w:val="003908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08B6"/>
    <w:rPr>
      <w:i/>
      <w:iCs/>
      <w:color w:val="2F5496" w:themeColor="accent1" w:themeShade="BF"/>
    </w:rPr>
  </w:style>
  <w:style w:type="character" w:styleId="IntenseReference">
    <w:name w:val="Intense Reference"/>
    <w:basedOn w:val="DefaultParagraphFont"/>
    <w:uiPriority w:val="32"/>
    <w:qFormat/>
    <w:rsid w:val="003908B6"/>
    <w:rPr>
      <w:b/>
      <w:bCs/>
      <w:smallCaps/>
      <w:color w:val="2F5496" w:themeColor="accent1" w:themeShade="BF"/>
      <w:spacing w:val="5"/>
    </w:rPr>
  </w:style>
  <w:style w:type="paragraph" w:styleId="NormalWeb">
    <w:name w:val="Normal (Web)"/>
    <w:basedOn w:val="Normal"/>
    <w:uiPriority w:val="99"/>
    <w:unhideWhenUsed/>
    <w:rsid w:val="003908B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908B6"/>
    <w:rPr>
      <w:b/>
      <w:bCs/>
    </w:rPr>
  </w:style>
  <w:style w:type="character" w:styleId="Emphasis">
    <w:name w:val="Emphasis"/>
    <w:basedOn w:val="DefaultParagraphFont"/>
    <w:uiPriority w:val="20"/>
    <w:qFormat/>
    <w:rsid w:val="003908B6"/>
    <w:rPr>
      <w:i/>
      <w:iCs/>
    </w:rPr>
  </w:style>
  <w:style w:type="character" w:styleId="Hyperlink">
    <w:name w:val="Hyperlink"/>
    <w:basedOn w:val="DefaultParagraphFont"/>
    <w:uiPriority w:val="99"/>
    <w:semiHidden/>
    <w:unhideWhenUsed/>
    <w:rsid w:val="003908B6"/>
    <w:rPr>
      <w:color w:val="0000FF"/>
      <w:u w:val="single"/>
    </w:rPr>
  </w:style>
  <w:style w:type="character" w:customStyle="1" w:styleId="screenreader-only">
    <w:name w:val="screenreader-only"/>
    <w:basedOn w:val="DefaultParagraphFont"/>
    <w:rsid w:val="003908B6"/>
  </w:style>
  <w:style w:type="table" w:styleId="TableGrid">
    <w:name w:val="Table Grid"/>
    <w:basedOn w:val="TableNormal"/>
    <w:uiPriority w:val="39"/>
    <w:rsid w:val="003252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60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fl.edu/ugrad/current/regulations/info/attendance.aspx" TargetMode="External"/><Relationship Id="rId3" Type="http://schemas.openxmlformats.org/officeDocument/2006/relationships/settings" Target="settings.xml"/><Relationship Id="rId7" Type="http://schemas.openxmlformats.org/officeDocument/2006/relationships/hyperlink" Target="https://flexible.dce.ufl.edu/media/flexibledceufledu/documents/uf_policy_student_conduc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ides.uflib.ufl.edu/copyright/plagiarism" TargetMode="External"/><Relationship Id="rId11" Type="http://schemas.openxmlformats.org/officeDocument/2006/relationships/theme" Target="theme/theme1.xml"/><Relationship Id="rId5" Type="http://schemas.openxmlformats.org/officeDocument/2006/relationships/hyperlink" Target="https://catalog.ufl.edu/ugrad/current/regulations/info/attendance.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unseling.ufl.edu/cwc/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3262</Words>
  <Characters>18599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Grant</dc:creator>
  <cp:keywords/>
  <dc:description/>
  <cp:lastModifiedBy>David Grant</cp:lastModifiedBy>
  <cp:revision>1</cp:revision>
  <dcterms:created xsi:type="dcterms:W3CDTF">2025-01-09T19:20:00Z</dcterms:created>
  <dcterms:modified xsi:type="dcterms:W3CDTF">2025-01-09T21:03:00Z</dcterms:modified>
</cp:coreProperties>
</file>